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before="0" w:line="319.9992" w:lineRule="auto"/>
        <w:jc w:val="both"/>
        <w:rPr>
          <w:b w:val="1"/>
          <w:bCs w:val="1"/>
          <w:color w:val="0d0d0d"/>
          <w:sz w:val="30"/>
          <w:szCs w:val="30"/>
        </w:rPr>
      </w:pPr>
      <w:bookmarkStart w:colFirst="0" w:colLast="0" w:name="_heading=h.y8f162b4sf8n" w:id="0"/>
      <w:bookmarkEnd w:id="0"/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ورقة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سياسات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برامج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الحماية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الاجتماعية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بين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الفقر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البنيوي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ودولة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6"/>
          <w:szCs w:val="36"/>
          <w:rtl w:val="1"/>
        </w:rPr>
        <w:t xml:space="preserve">الرفاه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240" w:line="335.99999999999994" w:lineRule="auto"/>
        <w:jc w:val="both"/>
        <w:rPr>
          <w:b w:val="1"/>
          <w:bCs w:val="1"/>
          <w:color w:val="0d0d0d"/>
          <w:sz w:val="30"/>
          <w:szCs w:val="30"/>
        </w:rPr>
      </w:pPr>
      <w:bookmarkStart w:colFirst="0" w:colLast="0" w:name="_heading=h.j7hhv63nlzq6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1.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مقدمة</w:t>
      </w:r>
    </w:p>
    <w:p w:rsidR="00000000" w:rsidDel="00000000" w:rsidP="00000000" w:rsidRDefault="00000000" w:rsidRPr="00000000" w14:paraId="00000003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الرغم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إطلاق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متعددة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منذ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منتصف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العقد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الماضي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تصاعد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مستمر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حتى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بلغت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نحو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29.7%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2020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وفق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للبيانات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رجح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وصولها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32%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أكثر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تلاشي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القدرة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الشرائية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لدى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المواطنين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موجات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تحرير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الصرف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المتلاحقة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صاحبها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التضخم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الشرق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الاوسط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أشارت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تحقيقات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صحفية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مستقلة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الامتناع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نشر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نتائج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أحدث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بحث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للدخل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(2021-2022)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يخفي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ملحوظ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تصل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34%،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المدقع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1.31%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حتى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بلوغها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5.81%،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الريف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والمناطق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المهمشة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وتشير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دراسات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أخرى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القومي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بلغ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33.3%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2021-2022،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35.7%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2022-2023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مدى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ورغم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عدم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نشر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نتائج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بحث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الدخل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تحليل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البيانات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المتاحة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بصعوبة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يؤكد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سبيل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المثال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أشارت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التحليلات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الغذاء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-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والذي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العوامل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المرتبطة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-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الشرائح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هناك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ملحوظ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كلفة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الغذاء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نفسها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لجأت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الحكومة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لبعض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الحزم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السياساتية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الآثار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الاقتصادية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الفئات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الأكثر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هشاشة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ومنها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الأدنى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للأجور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متكرر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حتى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7000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جنيه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2025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اليوم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والذي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رغم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كونه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إجراء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يقتصر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الحكومية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حيث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آليات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التحقق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تطبيقه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الخاص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زالت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قاصرة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المبادرة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للحقوق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الشخصية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2023)،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بالإضافة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عدد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يصل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  8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13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مليون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وعاملة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حوالي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نصف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حجم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القوى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حلول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البديلة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2023)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وبطبيعة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ينطبق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عليهم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الأدنى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للأجور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الحزم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أيض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المعاشات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بلغت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15%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ورفع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الأدنى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للمعاشات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اعتبارا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يناير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2024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ليصبح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1300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جنيه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بدلا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1105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يبلغ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الأقصى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10080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جنيه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بدلا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8720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الاستثمار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2023)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تكفي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لمواجهة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موجات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الغلاء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المتكررة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فقد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بلغ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التضخم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2023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33.88% (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Macrotrends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, 2023).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شملت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الحزمة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الحكومية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مخصصات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تكافل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وكرامة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"،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الأكبر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لتقديم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النقدي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والشرق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الأوسط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وشمال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أفريقيا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مبادرة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الإصلاح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العربي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تصل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25%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اعتبار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2023،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لترتفع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قيمة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النقدي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الشهري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نحو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900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جنيه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أدنى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وقد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تزيد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بحسب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عدد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أفراد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الأسرة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ومستوى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الاستحقاق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تزال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كافية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لمواجهة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التضخم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المتصاعد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بوتيرة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سريعة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شروط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تمنع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نصف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فقراء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الاستفادة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المبادرة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للحقوق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الشخصية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2023).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يستهدف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الأسر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الفقيرة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والأولى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وكبار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يتحصلون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معاش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ثابت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وذوي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الإعاقة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الذين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يستطيعون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والأسر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لديها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أطفال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المعيلات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بعض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شروط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الجيدة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الناحية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النظرية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تؤدي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صعوبة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لمستحقيه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سبيل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المثال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يسترط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بالمتابعة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المنتظمة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للأمهات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والأطفال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والتزام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الأبناء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بالحضور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المدرسي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80%،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إضافة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معايير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اقتصادية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تستبعد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الأسر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تمتلك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أصول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بسيطة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مثل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مصدر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دخل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رسمي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الهيئة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للاستعلامات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يراجع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استحقاقية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مستفيديه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ثلاثة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أعوام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التزامهم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بالشروط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وعدم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أوضاعهم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المادية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للأفضل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أدى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استبعاد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620,000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مستفيد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البرنامج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2026).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جدير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بالذكر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المستفيدات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برنامج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تكافل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وكرامة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حيث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تبلغ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حوالي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74%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بحسب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إحصاءات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البنك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بينما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وصلت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بعض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التقديرات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90%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مبادرة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الإصلاح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العربي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2025). 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الرغم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الحزم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الاتجاه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يتغير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يزداد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الوضع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سوء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حيث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الهيكلية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تشهد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تحسينات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ذكر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يؤدي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إعادة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إنتاج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ومسبباته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بصورة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أكثر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ضراوة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تشير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اتجاهات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وتحليلات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الحالية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لعبء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التكي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ّ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تدهور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الأوضاع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الاقتصادية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منهن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وبشكل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أدق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الأكبر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النسائية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بالقطاعات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نمط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الاستهداف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المشروط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يتحول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أصيل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يكفله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الدستور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أداة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للضبط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تقضي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وقت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أطول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بكثير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أعمال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والأعمال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المنزلية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مدفوعة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الأجر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يعيق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وصولهن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المتكافئ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لسوق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والخدمات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والصحية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تستعرض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الورقة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بإيجاز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أوضاع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وبعض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ناه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الهيكلية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وعلاقته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غياب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دولة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الرفاه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وتقدم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توصيات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سياساتية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لتوفير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تساهم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تغيير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الهيكلية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عوض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تقديم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حلول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مؤقتة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تثمر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قليل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وذلك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منظور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نسوي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تقاطعي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وتركز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الورقة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ثلاثة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محاور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: (1)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(2)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المجاني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الجيد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وأخير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وليس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آخر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(3)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والبطالة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  <w:r w:rsidDel="00000000" w:rsidR="00000000" w:rsidRPr="00000000">
        <w:fldChar w:fldCharType="begin"/>
        <w:instrText xml:space="preserve"> HYPERLINK "https://www.worldbank.org/en/news/press-release/2022/12/23/new-world-bank-financing-will-expand-and-strengthen-egypt-s-flagship-social-protection-program#:~:text=made%20notable%20progress%20towards%20building,cash%20goes%20to%20Upper%20Egypt"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jc w:val="both"/>
        <w:rPr>
          <w:color w:val="0d0d0d"/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240" w:line="335.99999999999994" w:lineRule="auto"/>
        <w:jc w:val="both"/>
        <w:rPr>
          <w:b w:val="1"/>
          <w:bCs w:val="1"/>
          <w:color w:val="0d0d0d"/>
          <w:sz w:val="30"/>
          <w:szCs w:val="30"/>
        </w:rPr>
      </w:pPr>
      <w:bookmarkStart w:colFirst="0" w:colLast="0" w:name="_heading=h.oxqjhyawgwg2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2.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الخلفية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والسياق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السياساتي</w:t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2016،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صدرت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رؤية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2030"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استراتيجية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التنمية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المستدامة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أجواء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سياسية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تتسم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بالتضييق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المجال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والمجتمع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المدني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كمحاولة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لفرض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السيطرة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الأوضاع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السياسة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ثورة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25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يناير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وتداعياتها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شملت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الأهداف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المعلنة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لرؤية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2030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التخفيف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وتعزيز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العدالة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أولوياتها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يكسب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أهمية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قصوى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الأجندة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الوطنية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رؤية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2030، 2016).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وقد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أطلقت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الحكومة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ومبادرات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متعددة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مثل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تكافل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وكرامة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" "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وحياة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كريمة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"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للمساهمة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جهود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تخفيف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الجهود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تثمر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نتائج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متواضعة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منبعه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ولم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تمنع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سبقت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الإشارة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جدير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بالذكر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الرؤية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لاقت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انتقادات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منذ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إطلاقه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ضمنها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الطموح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المبالغ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الارتكاز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خطة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واقعية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للوصول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لأهدافها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الطموحة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يمكن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انتقادها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ذاتها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مدى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2016).</w:t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24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تاريخي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توجه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بالكامل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نحو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المعسكر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الأمريكي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ومنذ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ثمانينات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القرن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الماضي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تبدي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لتحقيق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دولة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الرفاه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الشاملة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بالتحول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نحو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النيوليبرالية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لذاك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المعسكر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تطبيق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سياسة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الانفتاح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التزام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بتوجهات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صندوق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النقد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فقد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اتجهت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الاقتصادية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نحو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تقليص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وتحرير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الأسواق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تعويض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محدود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عبر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استهدافية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مشروطة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وبعد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الموجات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المتتالية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تحرير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سعر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الصرف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منذ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2016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والتضخم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المصاحب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المدقع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امتنعت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الحكومة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نشر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نتائج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مسح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الدخل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الأخير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يثير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شكوك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متعددة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الحقيقية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مؤخر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للشعب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والإفصاح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مكفول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بنص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دستوري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وفق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للمادة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68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الدستور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(2014).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وتشير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تحليلات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حقوقية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الامتناع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خيار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سياسي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مدى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المساءلة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غياب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البيانات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وتوفر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أجزاء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يصعب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تقييم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ويصعب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طرحها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للنقاش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المجتمعي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حتى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للنقاش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المتخصصين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24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وفي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ظل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غياب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عدالة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ضريبية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حقيقية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ولجوء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لإجراءات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تقشفية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لسد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العجز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الموازنة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ديونها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تعتمد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الأسر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الفقيرة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نقدي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تضمن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الخروج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دائرة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تعكس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الإجراءات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غياب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رؤية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شاملة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لدولة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الرفاه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حيث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تستخدم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كآلية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للاحتواء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المؤقت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والجزئي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مثل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الذي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للقطاعات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الأكثر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تضرر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أثناء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وباء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كوفيد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19،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والعاملين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جهود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تساهم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بناء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نظام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شامل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وفع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ّ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تفكيك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الهيكلية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تشمل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تدني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الأجور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والنسب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شديدة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للعمالة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وصلت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70%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بحسب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تقديرات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البنك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(2023)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وبالتالي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يؤثر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زوالها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المركز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للحقوق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الاقتصادية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منظور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نسوي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يتجلى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الغياب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للبعد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الهيكلي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استبعاد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الاقتصاد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–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الغالبية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–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مؤسسية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يرسخ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هشاشتهن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الاقتصادية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عبر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دورة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الحياة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240" w:before="240" w:lineRule="auto"/>
        <w:jc w:val="both"/>
        <w:rPr>
          <w:color w:val="2964aa"/>
          <w:sz w:val="14"/>
          <w:szCs w:val="14"/>
          <w:shd w:fill="f4f4f4" w:val="clear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وفي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الاستعراض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الشامل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الأخير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تلقت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توصيات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متكررة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تدعو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توسيع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مظلة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وتحسين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استهداف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والفئات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الهشة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وتعزيز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تقارير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المجتمع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المدني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تقارير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نسوية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موازية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تؤكد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بطء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الاستجابة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التوصيات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واستمرار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التضييق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الرقابي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للمجتمع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المدني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تقييم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  <w:r w:rsidDel="00000000" w:rsidR="00000000" w:rsidRPr="00000000">
        <w:fldChar w:fldCharType="begin"/>
        <w:instrText xml:space="preserve"> HYPERLINK "https://www.hrw.org/news/2025/01/27/egypt-declining-funding-undermines-education#:~:text=Egypt%E2%80%99s%20education%20spending%20is%20well,income%20countries%2C%20who%20allocate"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240" w:line="335.99999999999994" w:lineRule="auto"/>
        <w:jc w:val="both"/>
        <w:rPr>
          <w:b w:val="1"/>
          <w:bCs w:val="1"/>
          <w:color w:val="0d0d0d"/>
          <w:sz w:val="30"/>
          <w:szCs w:val="30"/>
        </w:rPr>
      </w:pPr>
      <w:bookmarkStart w:colFirst="0" w:colLast="0" w:name="_heading=h.apj70pizphwv" w:id="3"/>
      <w:bookmarkEnd w:id="3"/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3.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المحور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الأول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الحق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الصحة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والتأمين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الصحي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الشامل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أقر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ّ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قانون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التأمين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الشامل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رقم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(2)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لسنة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2018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ليكون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حجر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الزاوية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إصلاح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وتحقيق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شملت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الإصلاحات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فصل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التمويل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تقديم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الخدمة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وإنشاء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هيئات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للصرف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والمشتريات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ومراقبة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الجودة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WHO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, 2020).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وبحسب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تصريحات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حكومية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وصلت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التغطية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78%،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المستهدف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تصل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100%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بحلول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2030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اليوم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ذلك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تقابل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الإنجازات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تحديات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وتفاوتات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جوهرية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الحكومي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تزال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منخفضة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مقارنة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بالمعايير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؛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رغم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زيادات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مؤخر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بلغ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إجمالي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الحكومي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4.6%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مجمل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الاستثمار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المخطط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2024/2023 (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World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Bank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, 2024)،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أقل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المعدلات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الموصى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عالميا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لتحقيق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الشاملة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ثانيا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هناك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التباسات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آليات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الاستفادة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التغطية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ونسبها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يشكل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عائق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حقيقي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أمام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الخدمات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للفئات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الأكثر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ولم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تشهد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انخفاض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ملحوظ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مدى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شأنه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يحدث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الوصول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الحقيقي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للمواطنين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لهذا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التأمين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الشامل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  <w:r w:rsidDel="00000000" w:rsidR="00000000" w:rsidRPr="00000000">
        <w:rPr>
          <w:color w:val="0d0d0d"/>
          <w:sz w:val="14"/>
          <w:szCs w:val="14"/>
          <w:shd w:fill="f4f4f4" w:val="clear"/>
          <w:rtl w:val="0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ثالثا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رغم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التحسينات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الهيكلية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المزعومة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تشكو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المستشفيات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نقص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الأطباء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والتجهيزات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بعض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المناطق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الموجودة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بالمناطق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الريفية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والنائية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الحدودية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تتركز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الخدمات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الجودة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المراكز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الحضرية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جدير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بالذكر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نقص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الأطباء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بسبب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ضعف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الدخل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يدفعهم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للهجرة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مشكلة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متفاقمة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ذكرت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خطاب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رئاسي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مواربة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(2022).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المنظومة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الحالية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تركز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والاجتماعي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الاستباقي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شاملة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للأطفال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والمسن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ّ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وخدمات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مؤسساتية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يؤدي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كثير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الأحوال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يقع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عبء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الأولية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والمستمرة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كاهل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الأسر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240" w:line="335.99999999999994" w:lineRule="auto"/>
        <w:jc w:val="both"/>
        <w:rPr>
          <w:b w:val="1"/>
          <w:bCs w:val="1"/>
          <w:color w:val="0d0d0d"/>
          <w:sz w:val="30"/>
          <w:szCs w:val="30"/>
        </w:rPr>
      </w:pPr>
      <w:bookmarkStart w:colFirst="0" w:colLast="0" w:name="_heading=h.srz9b8jye8fg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4.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المحور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الثاني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الحق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في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التعليم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الجيد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المجاني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موازنة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2024/2025،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خصصت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الحكومة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295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مليار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جنيه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يعادل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1.7%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الناتج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المحلي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5.3%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إجمالي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مستوى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أدنى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بكثير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الاستحقاقات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الدستورية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والمعايير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فبالرغم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الدستور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ينص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تخصيص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يقل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6%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الناتج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المحلي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(4%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قبل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الجامعي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2%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الجامعي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)،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فإن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يقل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نصف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متوسط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الدخل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المتوسط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الأدنى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ويتراجع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الناتج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منذ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سنوات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ظهر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تحليلات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هيومن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رايتس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ووتش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والمبادرة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المصرية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للحقوق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الشخصية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انخفض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بنحو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24%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بالقيمة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الحقيقية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منذ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2014،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ليصل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2024/2025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أدنى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مستوى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خلال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خمس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سنوات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HRW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, 2025).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ووفق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لليونيسيف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أدى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التراجع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تدني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جودة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ونقص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عدد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المعلمين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المؤهلين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وتدهور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المنشآت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التعليمية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المناطق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الأكثر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تهميش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(2024).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التراجع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أدى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الأسر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تكاليف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معلنة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مثل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اللجوء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الدروس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الخصوصية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التنقل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وقد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أتت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المرتبة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42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43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دولة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معرفة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القراءة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للطلبة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الرابع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الابتدائي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مؤشر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محدودية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قدرتهم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تحصيل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المواد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العلمية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الأخرى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UNICEF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, 2024). </w:t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ومن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ناحية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أخرى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هناك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ملحوظ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أعداد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عمالة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الأطفال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السنوات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الأخيرة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نتيجة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لارتفاع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حيث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ارتفعت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2.9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2019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3.6%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2024 (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U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.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S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Department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of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0"/>
        </w:rPr>
        <w:t xml:space="preserve">Labor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وأظهرت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"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حادثة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فتيات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العنب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"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الظروف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الإنسانية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تعرضهم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لأشكال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مختلفة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العنف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والمخاطر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الفتيات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عمالة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بمزارع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المنوفية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اللاتي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لقين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مصرعهن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وأصبن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حادث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تبرز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المعطيات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المجاني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مجاني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الصعب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الوصول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للعديد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الفقراء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وذلك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رغم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كونه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مكفولا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دستوريا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ً.</w:t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240" w:line="335.99999999999994" w:lineRule="auto"/>
        <w:jc w:val="both"/>
        <w:rPr>
          <w:b w:val="1"/>
          <w:bCs w:val="1"/>
          <w:color w:val="0d0d0d"/>
          <w:sz w:val="30"/>
          <w:szCs w:val="30"/>
        </w:rPr>
      </w:pPr>
      <w:bookmarkStart w:colFirst="0" w:colLast="0" w:name="_heading=h.t3yl3jyo1l7u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5.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المحور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الثالث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: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الضمان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الاجتماعي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وإعانات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البطالة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يتشعب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مفهوم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ليشمل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المعاشات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والتأمينات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ذلك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التأمين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المرض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والبطالة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إضافة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النقدي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والغذاء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ولدى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سواء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حكومي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أنظمة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تقاعد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تقليدية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تعتمد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الاقتطاع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الأجور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تترك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ثغرة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بنيوية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هائلة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فالغالبية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العظمى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منهن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يعملن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خارج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وبالتالي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يحصلن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معاشات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تقاعدية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تأمين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صحي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الواقع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ّ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الحديثة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إدخال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محدود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للفئات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القليلة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المنخرطة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سبيل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المثال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أدخل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قانون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التأمينات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والمعاشات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(148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لسنة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2019)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نظاما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جديدا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لتأمين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البطالة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مستهدفا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الموظفين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والعاملين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والخاص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بشرط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يزيد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عمرهم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60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برلماني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2020).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يستثني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القانون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بوضوح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والموسمية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تحظى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بأي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مظلة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لحمايتها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بالإضافة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لذلك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تقتصر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الاستفادة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الأدنى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للأجور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الفئات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الحكومي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وبنسب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أقل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بكثير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الخاص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تصل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بأي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الأحوال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للعمالة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 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60" w:lineRule="auto"/>
        <w:ind w:right="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وعلى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صعيد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آخر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قانون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يضمن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المساواة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الرجال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حالات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الولادة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زالت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أعباء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الطفل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ممنهج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عاتق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الأمهات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حتى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قانون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الذي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يمنح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الآباء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إجازة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ليوم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الخلفة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حتى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بعد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آخر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تعديل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قانون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2025)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إشارة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واضحة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فلسفة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المشرع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تنظر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أعباء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اختصاص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فقط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وجود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مولود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جديد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يتطلب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والأم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حقوق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الآباء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يشاركوا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أطفالهم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ليس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مجرد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واجب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وهو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يرسخ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غياب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واجباته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الرعائية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منذ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الأيام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الأولى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عمر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الطفل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كما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غياب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الإحصاءات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الفعلية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المعيلات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يجعل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الصعب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تقييم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تأثير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عليهن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60" w:before="240" w:line="335.99999999999994" w:lineRule="auto"/>
        <w:jc w:val="both"/>
        <w:rPr>
          <w:b w:val="1"/>
          <w:bCs w:val="1"/>
          <w:color w:val="0d0d0d"/>
          <w:sz w:val="30"/>
          <w:szCs w:val="30"/>
        </w:rPr>
      </w:pPr>
      <w:bookmarkStart w:colFirst="0" w:colLast="0" w:name="_heading=h.z6489yynul3r" w:id="6"/>
      <w:bookmarkEnd w:id="6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6.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التوصيات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30"/>
          <w:szCs w:val="30"/>
          <w:rtl w:val="1"/>
        </w:rPr>
        <w:t xml:space="preserve">السياساتية</w:t>
      </w:r>
    </w:p>
    <w:p w:rsidR="00000000" w:rsidDel="00000000" w:rsidP="00000000" w:rsidRDefault="00000000" w:rsidRPr="00000000" w14:paraId="0000001C">
      <w:pPr>
        <w:bidi w:val="1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بناء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التحليل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السابق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والتجارب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يجب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الدولة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ُ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القرار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والجهات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المانحة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تعزيز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0" w:before="180" w:lineRule="auto"/>
        <w:ind w:left="720" w:right="60" w:hanging="360"/>
        <w:jc w:val="both"/>
        <w:rPr/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حقوق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الإنسان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: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الالتزام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الكامل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بالمادة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الدستورية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والصحة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بنسبة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تقل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6%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الناتج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المحلي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  <w:r w:rsidDel="00000000" w:rsidR="00000000" w:rsidRPr="00000000">
        <w:fldChar w:fldCharType="begin"/>
        <w:instrText xml:space="preserve"> HYPERLINK "https://www.hrw.org/news/2025/01/27/egypt-declining-funding-undermines-education#:~:text=Egypt%E2%80%99s%20education%20spending%20is%20well,income%20countries%2C%20who%20allocate"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/>
      </w:pPr>
      <w:r w:rsidDel="00000000" w:rsidR="00000000" w:rsidRPr="00000000">
        <w:fldChar w:fldCharType="end"/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توجيه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هذه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الزيادة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لتحسين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جودة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التعليم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وتأهيل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المعلمين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وتوسيع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شبكة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المدارس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القرى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والأحياء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الفقيرة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الوصول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المجاني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الفعلي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ّ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للجميع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/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تخصيص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عامة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كافية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خاصة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الأولية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المناطق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النائية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وتعزيز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الخدمات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المجانية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للولادات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وصحة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الأمومة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والصحة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الجنسية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إزالة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العوائق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تؤدي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لعدم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الاستفادة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المتوفرة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أهمها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العوائق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الرقمية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ظل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انتشار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الرقمية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الاستثمار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اقتصاد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بالتوسع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توفير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الحضانة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للأطفال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ودور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الرعاية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لكبار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إلزام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الخاص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بحل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أزمة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بالرقابة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المشددة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المنشآت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وتعديل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قانون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قدرة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تنظيم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أنفسهم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نقابات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تعنى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بخدمة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مصالحهم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وحمايتها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/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الإسراع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بتعميم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التأمين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الصحي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الشامل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مستوى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جميع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المحافظات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متابعة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وجود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شبكة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قوية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الأطباء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والمستشفيات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ذات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جودة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خصخصة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المستشفيات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إشراف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القطاع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الخاص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عليها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/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توسيع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مظلة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الاشتراك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منظومة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التأمينات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لتشمل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العمال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الرسميين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قدر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الإمكان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(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مثلا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عبر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آليات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دفع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مرنة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مؤسسات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تمثيلية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/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تفعيل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قانون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البطالة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يضمن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تعويضا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ماديا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حقيقيا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أثناء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البحث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عمل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وتدريب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يعانون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البطالة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مهارات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عملية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/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شمول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النساء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غير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العاملات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خطط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معاشات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لربات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البيوت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إجراء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إصلاحات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تشريعية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واقتصادية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لخفض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معدلات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التضخم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والحد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التقشف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تؤثر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أساسي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الفئات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الأفقر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والأكثر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تهميشا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وذلك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بتوجيه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نحو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إخراج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الاقتصاد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مأزق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الديون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وتعديل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المسار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اتجاه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نمو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مبني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إنتاج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سلع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وخدمات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حقيقية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hanging="3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التوسع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التمويني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عوض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الدعم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النقدي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الذي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يتأثر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بشكل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واضح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بنسب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التضخم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bidi w:val="1"/>
        <w:spacing w:after="0" w:before="0" w:lineRule="auto"/>
        <w:ind w:left="720" w:right="60" w:hanging="360"/>
        <w:jc w:val="both"/>
        <w:rPr/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المساءلة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والمشاركة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المجتمعية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وذلك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بالالتزام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بالحق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الدستوري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المعلومات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وشفافيتها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وجود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دراسات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محايدة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يقوم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عليها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المجتمع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المدني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والأكاديمي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لتقييم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السياسات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وتقديم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التوصيات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اللازمة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فعاليتها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120" w:before="0" w:lineRule="auto"/>
        <w:ind w:left="720" w:hanging="360"/>
        <w:jc w:val="both"/>
        <w:rPr>
          <w:color w:val="0d0d0d"/>
          <w:sz w:val="24"/>
          <w:szCs w:val="24"/>
        </w:rPr>
      </w:pPr>
      <w:r w:rsidDel="00000000" w:rsidR="00000000" w:rsidRPr="00000000">
        <w:rPr>
          <w:color w:val="0d0d0d"/>
          <w:sz w:val="24"/>
          <w:szCs w:val="24"/>
          <w:rtl w:val="1"/>
        </w:rPr>
        <w:t xml:space="preserve">تخفيض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ضريبة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القيمة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المضافة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تثقل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كاهل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المستهلكين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والالتزام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بتحصيل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ضرائب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الأرباح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الرأسمالية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التي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تفرض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الأيسر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حالا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بطبيعة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الأمر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عوض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ً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تأجيلها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أو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تجميدها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،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وذلك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لتوفير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الموارد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اللازمة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لضمان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الإنفاق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على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برامج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الحماية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الاجتماعية</w:t>
      </w:r>
      <w:r w:rsidDel="00000000" w:rsidR="00000000" w:rsidRPr="00000000">
        <w:rPr>
          <w:color w:val="0d0d0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120" w:before="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120" w:before="0" w:lineRule="auto"/>
        <w:jc w:val="both"/>
        <w:rPr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b w:val="1"/>
          <w:bCs w:val="1"/>
          <w:color w:val="0d0d0d"/>
          <w:sz w:val="24"/>
          <w:szCs w:val="24"/>
          <w:rtl w:val="1"/>
        </w:rPr>
        <w:t xml:space="preserve">قائمة</w:t>
      </w:r>
      <w:r w:rsidDel="00000000" w:rsidR="00000000" w:rsidRPr="00000000">
        <w:rPr>
          <w:b w:val="1"/>
          <w:bCs w:val="1"/>
          <w:color w:val="0d0d0d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bCs w:val="1"/>
          <w:color w:val="0d0d0d"/>
          <w:sz w:val="24"/>
          <w:szCs w:val="24"/>
          <w:rtl w:val="1"/>
        </w:rPr>
        <w:t xml:space="preserve">المراجع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bidi w:val="1"/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1"/>
        </w:rPr>
        <w:t xml:space="preserve">مدى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. (2025). 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منشورة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والإنفاق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والاستهلاك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0"/>
        </w:rPr>
        <w:t xml:space="preserve">https</w:t>
      </w:r>
      <w:r w:rsidDel="00000000" w:rsidR="00000000" w:rsidRPr="00000000">
        <w:rPr>
          <w:rtl w:val="0"/>
        </w:rPr>
        <w:t xml:space="preserve">://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madamasr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com</w:t>
      </w:r>
      <w:r w:rsidDel="00000000" w:rsidR="00000000" w:rsidRPr="00000000">
        <w:rPr>
          <w:rtl w:val="0"/>
        </w:rPr>
        <w:t xml:space="preserve">/2025/08/09/</w:t>
      </w:r>
      <w:r w:rsidDel="00000000" w:rsidR="00000000" w:rsidRPr="00000000">
        <w:rPr>
          <w:rtl w:val="0"/>
        </w:rPr>
        <w:t xml:space="preserve">feature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اقتصاد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بيانات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منشورة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الدخل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والإنفاق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bidi w:val="1"/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1"/>
        </w:rPr>
        <w:t xml:space="preserve">المبادرة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. (2024). </w:t>
      </w:r>
      <w:r w:rsidDel="00000000" w:rsidR="00000000" w:rsidRPr="00000000">
        <w:rPr>
          <w:i w:val="1"/>
          <w:iCs w:val="1"/>
          <w:rtl w:val="1"/>
        </w:rPr>
        <w:t xml:space="preserve">إجراءات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الحماية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الاجتماعية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محدودة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في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وجه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عواصف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تخفيض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الجنيه</w:t>
      </w:r>
      <w:r w:rsidDel="00000000" w:rsidR="00000000" w:rsidRPr="00000000">
        <w:rPr>
          <w:rtl w:val="0"/>
        </w:rPr>
        <w:t xml:space="preserve">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eipr.org/publications/%D8%A5%D8%B5%D8%AF%D8%A7%D8%B1-%D8%AC%D8%AF%D9%8A%D8%AF-%D9%84%D9%84%D9%85%D8%A8%D8%A7%D8%AF%D8%B1%D8%A9-%D8%A7%D9%84%D9%85%D8%B5%D8%B1%D9%8A%D8%A9-%D8%A5%D8%AC%D8%B1%D8%A7%D8%A1%D8%A7%D8%AA-%D8%A7%D9%84%D8%AD%D9%85%D8%A7%D9%8A%D8%A9-%D8%A7%D9%84%D8%A7%D8%AC%D8%AA%D9%85%D8%A7%D8%B9%D9%8A%D8%A9-%D9%85%D8%AD%D8%AF%D9%88%D8%AF%D8%A9-%D9%81%D9%8A-%D9%88%D8%AC%D9%87-%D8%B9%D9%88%D8%A7%D8%B5%D9%81-%D8%AA%D8%AE%D9%81%D9%8A%D8%B6-%D8%A7%D9%84%D8%AC%D9%86%D9%8A%D9%87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bidi w:val="1"/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1"/>
        </w:rPr>
        <w:t xml:space="preserve">المركز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والاجتماعية</w:t>
      </w:r>
      <w:r w:rsidDel="00000000" w:rsidR="00000000" w:rsidRPr="00000000">
        <w:rPr>
          <w:rtl w:val="1"/>
        </w:rPr>
        <w:t xml:space="preserve">. (2025). </w:t>
      </w:r>
      <w:r w:rsidDel="00000000" w:rsidR="00000000" w:rsidRPr="00000000">
        <w:rPr>
          <w:rtl w:val="1"/>
        </w:rPr>
        <w:t xml:space="preserve">واقع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ومستقبل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والمضان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دراسة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التحديات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والحلول</w:t>
      </w:r>
      <w:r w:rsidDel="00000000" w:rsidR="00000000" w:rsidRPr="00000000">
        <w:rPr>
          <w:rtl w:val="1"/>
        </w:rPr>
        <w:t xml:space="preserve">.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ecesr.org/wp-content/uploads/2025/01/%D9%88%D8%A7%D9%82%D8%B9-%D9%88%D9%85%D8%B3%D8%AA%D9%82%D8%A8%D9%84-%D8%A7%D9%84%D8%AD%D9%85%D8%A7%D9%8A%D8%A9-%D8%A7%D9%84%D8%A7%D8%AC%D8%AA%D9%85%D8%A7%D8%B9%D9%8A%D8%A9-%D9%88%D8%B3%D9%8A%D8%A7%D8%B3%D8%A7%D8%AA-%D8%A7%D9%84%D8%AF%D8%B9%D9%85-%D9%88%D8%A7%D9%84%D8%B6%D9%85%D8%A7%D9%86-%D8%A7%D9%84%D8%A7%D8%AC%D8%AA%D9%85%D8%A7%D8%B9%D9%8A-%D9%81%D9%8A-%D9%85%D8%B5%D8%B1-1.pdf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World Bank. (2023). Egypt Social Protection Programs. https://www.worldbank.org/en/country/egypt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Human Rights Watch. (2024). Egypt: Failing Education and Health Spending. https://www.hrw.org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WHO. (2018). Egypt Universal Health Insurance Law. https://www.who.int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20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UNICEF. (2022). Education in Egypt.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https://www.unicef.org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Egypt Vision 2030. (2016). </w:t>
      </w:r>
      <w:r w:rsidDel="00000000" w:rsidR="00000000" w:rsidRPr="00000000">
        <w:rPr>
          <w:i w:val="1"/>
          <w:iCs w:val="1"/>
          <w:rtl w:val="1"/>
        </w:rPr>
        <w:t xml:space="preserve">رؤية</w:t>
      </w:r>
      <w:r w:rsidDel="00000000" w:rsidR="00000000" w:rsidRPr="00000000">
        <w:rPr>
          <w:i w:val="1"/>
          <w:iCs w:val="1"/>
          <w:rtl w:val="1"/>
        </w:rPr>
        <w:t xml:space="preserve"> </w:t>
      </w:r>
      <w:r w:rsidDel="00000000" w:rsidR="00000000" w:rsidRPr="00000000">
        <w:rPr>
          <w:i w:val="1"/>
          <w:iCs w:val="1"/>
          <w:rtl w:val="1"/>
        </w:rPr>
        <w:t xml:space="preserve">مصر</w:t>
      </w:r>
      <w:r w:rsidDel="00000000" w:rsidR="00000000" w:rsidRPr="00000000">
        <w:rPr>
          <w:i w:val="1"/>
          <w:iCs w:val="1"/>
          <w:rtl w:val="0"/>
        </w:rPr>
        <w:t xml:space="preserve"> 2030</w:t>
      </w:r>
      <w:r w:rsidDel="00000000" w:rsidR="00000000" w:rsidRPr="00000000">
        <w:rPr>
          <w:rtl w:val="0"/>
        </w:rPr>
        <w:t xml:space="preserve">. Presidency of Egypt.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://</w:t>
        </w:r>
      </w:hyperlink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sis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.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gov</w:t>
        </w:r>
      </w:hyperlink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.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eg</w:t>
        </w:r>
      </w:hyperlink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/</w:t>
        </w:r>
      </w:hyperlink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ar</w:t>
        </w:r>
      </w:hyperlink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/</w:t>
        </w:r>
      </w:hyperlink>
      <w:hyperlink r:id="rId20">
        <w:r w:rsidDel="00000000" w:rsidR="00000000" w:rsidRPr="00000000">
          <w:rPr>
            <w:color w:val="1155cc"/>
            <w:u w:val="single"/>
            <w:rtl w:val="1"/>
          </w:rPr>
          <w:t xml:space="preserve">مصر</w:t>
        </w:r>
      </w:hyperlink>
      <w:hyperlink r:id="rId21">
        <w:r w:rsidDel="00000000" w:rsidR="00000000" w:rsidRPr="00000000">
          <w:rPr>
            <w:color w:val="1155cc"/>
            <w:u w:val="single"/>
            <w:rtl w:val="1"/>
          </w:rPr>
          <w:t xml:space="preserve">/</w:t>
        </w:r>
      </w:hyperlink>
      <w:hyperlink r:id="rId22">
        <w:r w:rsidDel="00000000" w:rsidR="00000000" w:rsidRPr="00000000">
          <w:rPr>
            <w:color w:val="1155cc"/>
            <w:u w:val="single"/>
            <w:rtl w:val="1"/>
          </w:rPr>
          <w:t xml:space="preserve">رؤية</w:t>
        </w:r>
      </w:hyperlink>
      <w:hyperlink r:id="rId23">
        <w:r w:rsidDel="00000000" w:rsidR="00000000" w:rsidRPr="00000000">
          <w:rPr>
            <w:color w:val="1155cc"/>
            <w:u w:val="single"/>
            <w:rtl w:val="1"/>
          </w:rPr>
          <w:t xml:space="preserve">-</w:t>
        </w:r>
      </w:hyperlink>
      <w:hyperlink r:id="rId24">
        <w:r w:rsidDel="00000000" w:rsidR="00000000" w:rsidRPr="00000000">
          <w:rPr>
            <w:color w:val="1155cc"/>
            <w:u w:val="single"/>
            <w:rtl w:val="1"/>
          </w:rPr>
          <w:t xml:space="preserve">مصر</w:t>
        </w:r>
      </w:hyperlink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-2030/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U.S. Department of Labor, Bureau of International Labor Affairs. (2024). </w:t>
      </w:r>
      <w:r w:rsidDel="00000000" w:rsidR="00000000" w:rsidRPr="00000000">
        <w:rPr>
          <w:i w:val="1"/>
          <w:iCs w:val="1"/>
          <w:rtl w:val="0"/>
        </w:rPr>
        <w:t xml:space="preserve">Egypt: Findings on the worst forms of child labor</w:t>
      </w:r>
      <w:r w:rsidDel="00000000" w:rsidR="00000000" w:rsidRPr="00000000">
        <w:rPr>
          <w:rtl w:val="0"/>
        </w:rPr>
        <w:t xml:space="preserve">. U.S. Department of Labor.</w:t>
      </w:r>
      <w:hyperlink r:id="rId26">
        <w:r w:rsidDel="00000000" w:rsidR="00000000" w:rsidRPr="00000000">
          <w:rPr>
            <w:rtl w:val="0"/>
          </w:rPr>
          <w:t xml:space="preserve"> </w:t>
        </w:r>
      </w:hyperlink>
      <w:hyperlink r:id="rId27">
        <w:r w:rsidDel="00000000" w:rsidR="00000000" w:rsidRPr="00000000">
          <w:rPr>
            <w:color w:val="1155cc"/>
            <w:u w:val="single"/>
            <w:rtl w:val="0"/>
          </w:rPr>
          <w:t xml:space="preserve">https://www.dol.gov/agencies/ilab/resources/reports/child-labor/egypt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World Bank. (2021). </w:t>
      </w:r>
      <w:r w:rsidDel="00000000" w:rsidR="00000000" w:rsidRPr="00000000">
        <w:rPr>
          <w:i w:val="1"/>
          <w:iCs w:val="1"/>
          <w:rtl w:val="0"/>
        </w:rPr>
        <w:t xml:space="preserve">Helping informal firms in Egypt to cope with COVID-19 crisis</w:t>
      </w:r>
      <w:r w:rsidDel="00000000" w:rsidR="00000000" w:rsidRPr="00000000">
        <w:rPr>
          <w:rtl w:val="0"/>
        </w:rPr>
        <w:t xml:space="preserve">. World Bank.</w:t>
      </w:r>
      <w:hyperlink r:id="rId28">
        <w:r w:rsidDel="00000000" w:rsidR="00000000" w:rsidRPr="00000000">
          <w:rPr>
            <w:rtl w:val="0"/>
          </w:rPr>
          <w:t xml:space="preserve"> </w:t>
        </w:r>
      </w:hyperlink>
      <w:hyperlink r:id="rId29">
        <w:r w:rsidDel="00000000" w:rsidR="00000000" w:rsidRPr="00000000">
          <w:rPr>
            <w:color w:val="1155cc"/>
            <w:u w:val="single"/>
            <w:rtl w:val="0"/>
          </w:rPr>
          <w:t xml:space="preserve">https://documents1.worldbank.org/curated/en/820051623771444816/pdf/Helping-Informal-Firms-in-Egypt-to-Cope-with-COVID-19-Crisis.pdf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spacing w:after="0" w:before="240" w:lineRule="auto"/>
        <w:ind w:left="720" w:right="600" w:hanging="360"/>
        <w:jc w:val="both"/>
        <w:rPr/>
      </w:pPr>
      <w:r w:rsidDel="00000000" w:rsidR="00000000" w:rsidRPr="00000000">
        <w:rPr>
          <w:color w:val="0d0d0d"/>
          <w:rtl w:val="0"/>
        </w:rPr>
        <w:t xml:space="preserve">Macrotrends. (n.d.). </w:t>
      </w:r>
      <w:r w:rsidDel="00000000" w:rsidR="00000000" w:rsidRPr="00000000">
        <w:rPr>
          <w:i w:val="1"/>
          <w:iCs w:val="1"/>
          <w:color w:val="0d0d0d"/>
          <w:rtl w:val="0"/>
        </w:rPr>
        <w:t xml:space="preserve">Egypt inflation rate | Historical chart &amp; data</w:t>
      </w:r>
      <w:r w:rsidDel="00000000" w:rsidR="00000000" w:rsidRPr="00000000">
        <w:rPr>
          <w:color w:val="0d0d0d"/>
          <w:rtl w:val="0"/>
        </w:rPr>
        <w:t xml:space="preserve">. Retrieved  11, 2026, from</w:t>
      </w:r>
      <w:hyperlink r:id="rId30">
        <w:r w:rsidDel="00000000" w:rsidR="00000000" w:rsidRPr="00000000">
          <w:rPr>
            <w:color w:val="0d0d0d"/>
            <w:rtl w:val="0"/>
          </w:rPr>
          <w:t xml:space="preserve"> </w:t>
        </w:r>
      </w:hyperlink>
      <w:hyperlink r:id="rId31">
        <w:r w:rsidDel="00000000" w:rsidR="00000000" w:rsidRPr="00000000">
          <w:rPr>
            <w:color w:val="1155cc"/>
            <w:u w:val="single"/>
            <w:rtl w:val="0"/>
          </w:rPr>
          <w:t xml:space="preserve">https://www.macrotrends.net/global-metrics/countries/EGY/egypt/inflation-rate-cpi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spacing w:after="0" w:before="0" w:lineRule="auto"/>
        <w:ind w:left="720" w:right="600" w:hanging="360"/>
        <w:jc w:val="both"/>
        <w:rPr/>
      </w:pPr>
      <w:r w:rsidDel="00000000" w:rsidR="00000000" w:rsidRPr="00000000">
        <w:rPr>
          <w:rtl w:val="0"/>
        </w:rPr>
        <w:t xml:space="preserve">Government of Egypt. (2025). 4.7 million families get additional Ramadan support under Takaful &amp; Karama. </w:t>
      </w:r>
      <w:r w:rsidDel="00000000" w:rsidR="00000000" w:rsidRPr="00000000">
        <w:rPr>
          <w:i w:val="1"/>
          <w:iCs w:val="1"/>
          <w:rtl w:val="0"/>
        </w:rPr>
        <w:t xml:space="preserve">Amwal Al Ghad</w:t>
      </w:r>
      <w:r w:rsidDel="00000000" w:rsidR="00000000" w:rsidRPr="00000000">
        <w:rPr>
          <w:rtl w:val="0"/>
        </w:rPr>
        <w:t xml:space="preserve">.</w:t>
      </w:r>
      <w:hyperlink r:id="rId32">
        <w:r w:rsidDel="00000000" w:rsidR="00000000" w:rsidRPr="00000000">
          <w:rPr>
            <w:rtl w:val="0"/>
          </w:rPr>
          <w:t xml:space="preserve"> </w:t>
        </w:r>
      </w:hyperlink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https://en.amwalalghad.com/4-7m-families-get-additional-ramadan-support-under-takaful-and-karama/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spacing w:after="0" w:before="0" w:lineRule="auto"/>
        <w:ind w:left="720" w:right="600" w:hanging="360"/>
        <w:jc w:val="both"/>
        <w:rPr/>
      </w:pPr>
      <w:r w:rsidDel="00000000" w:rsidR="00000000" w:rsidRPr="00000000">
        <w:rPr>
          <w:rtl w:val="0"/>
        </w:rPr>
        <w:t xml:space="preserve">Social Insurance Supreme Council. (n.d.). Takaful &amp; Karama Program details. </w:t>
      </w:r>
      <w:r w:rsidDel="00000000" w:rsidR="00000000" w:rsidRPr="00000000">
        <w:rPr>
          <w:i w:val="1"/>
          <w:iCs w:val="1"/>
          <w:rtl w:val="0"/>
        </w:rPr>
        <w:t xml:space="preserve">sis.gov.eg</w:t>
      </w:r>
      <w:r w:rsidDel="00000000" w:rsidR="00000000" w:rsidRPr="00000000">
        <w:rPr>
          <w:rtl w:val="0"/>
        </w:rPr>
        <w:t xml:space="preserve">.</w:t>
      </w:r>
      <w:hyperlink r:id="rId34">
        <w:r w:rsidDel="00000000" w:rsidR="00000000" w:rsidRPr="00000000">
          <w:rPr>
            <w:rtl w:val="0"/>
          </w:rPr>
          <w:t xml:space="preserve"> </w:t>
        </w:r>
      </w:hyperlink>
      <w:hyperlink r:id="rId35">
        <w:r w:rsidDel="00000000" w:rsidR="00000000" w:rsidRPr="00000000">
          <w:rPr>
            <w:color w:val="1155cc"/>
            <w:u w:val="single"/>
            <w:rtl w:val="0"/>
          </w:rPr>
          <w:t xml:space="preserve">https://sis.gov.eg/en/projects-initiatives/initiatives/takaful-karama-program/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spacing w:after="0" w:before="0" w:lineRule="auto"/>
        <w:ind w:left="720" w:right="600" w:hanging="360"/>
        <w:jc w:val="both"/>
        <w:rPr/>
      </w:pPr>
      <w:r w:rsidDel="00000000" w:rsidR="00000000" w:rsidRPr="00000000">
        <w:rPr>
          <w:rtl w:val="1"/>
        </w:rPr>
        <w:t xml:space="preserve">نيوس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رووم</w:t>
      </w:r>
      <w:r w:rsidDel="00000000" w:rsidR="00000000" w:rsidRPr="00000000">
        <w:rPr>
          <w:rtl w:val="1"/>
        </w:rPr>
        <w:t xml:space="preserve">. (2025). </w:t>
      </w:r>
      <w:r w:rsidDel="00000000" w:rsidR="00000000" w:rsidRPr="00000000">
        <w:rPr>
          <w:rtl w:val="1"/>
        </w:rPr>
        <w:t xml:space="preserve">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تكافل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وكرامة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الـ</w:t>
      </w:r>
      <w:r w:rsidDel="00000000" w:rsidR="00000000" w:rsidRPr="00000000">
        <w:rPr>
          <w:rtl w:val="0"/>
        </w:rPr>
        <w:t xml:space="preserve">25%. </w:t>
      </w:r>
      <w:r w:rsidDel="00000000" w:rsidR="00000000" w:rsidRPr="00000000">
        <w:rPr>
          <w:i w:val="1"/>
          <w:iCs w:val="1"/>
          <w:rtl w:val="0"/>
        </w:rPr>
        <w:t xml:space="preserve">Newsroom</w:t>
      </w:r>
      <w:r w:rsidDel="00000000" w:rsidR="00000000" w:rsidRPr="00000000">
        <w:rPr>
          <w:rtl w:val="0"/>
        </w:rPr>
        <w:t xml:space="preserve">.</w:t>
      </w:r>
      <w:hyperlink r:id="rId36">
        <w:r w:rsidDel="00000000" w:rsidR="00000000" w:rsidRPr="00000000">
          <w:rPr>
            <w:rtl w:val="0"/>
          </w:rPr>
          <w:t xml:space="preserve"> </w:t>
        </w:r>
      </w:hyperlink>
      <w:hyperlink r:id="rId37">
        <w:r w:rsidDel="00000000" w:rsidR="00000000" w:rsidRPr="00000000">
          <w:rPr>
            <w:color w:val="1155cc"/>
            <w:u w:val="single"/>
            <w:rtl w:val="0"/>
          </w:rPr>
          <w:t xml:space="preserve">https://newsroom.info/35752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spacing w:after="0" w:before="0" w:lineRule="auto"/>
        <w:ind w:left="720" w:right="600" w:hanging="360"/>
        <w:jc w:val="both"/>
        <w:rPr/>
      </w:pPr>
      <w:r w:rsidDel="00000000" w:rsidR="00000000" w:rsidRPr="00000000">
        <w:rPr>
          <w:rtl w:val="0"/>
        </w:rPr>
        <w:t xml:space="preserve">Al Manassa. (2025). Egypt boosts social welfare payments; Takaful &amp; Karama.</w:t>
      </w:r>
      <w:hyperlink r:id="rId38">
        <w:r w:rsidDel="00000000" w:rsidR="00000000" w:rsidRPr="00000000">
          <w:rPr>
            <w:rtl w:val="0"/>
          </w:rPr>
          <w:t xml:space="preserve"> </w:t>
        </w:r>
      </w:hyperlink>
      <w:hyperlink r:id="rId39">
        <w:r w:rsidDel="00000000" w:rsidR="00000000" w:rsidRPr="00000000">
          <w:rPr>
            <w:color w:val="1155cc"/>
            <w:u w:val="single"/>
            <w:rtl w:val="0"/>
          </w:rPr>
          <w:t xml:space="preserve">https://almanassa.com/en/news/25461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spacing w:after="0" w:before="0" w:lineRule="auto"/>
        <w:ind w:left="720" w:right="600" w:hanging="360"/>
        <w:jc w:val="both"/>
        <w:rPr/>
      </w:pPr>
      <w:r w:rsidDel="00000000" w:rsidR="00000000" w:rsidRPr="00000000">
        <w:rPr>
          <w:rtl w:val="0"/>
        </w:rPr>
        <w:t xml:space="preserve">Egypt Today. </w:t>
      </w:r>
      <w:r w:rsidDel="00000000" w:rsidR="00000000" w:rsidRPr="00000000">
        <w:rPr>
          <w:i w:val="1"/>
          <w:iCs w:val="1"/>
          <w:rtl w:val="0"/>
        </w:rPr>
        <w:t xml:space="preserve">(2025). All Egyptians will enjoy health insurance coverage by 2030 – Health</w:t>
      </w:r>
      <w:r w:rsidDel="00000000" w:rsidR="00000000" w:rsidRPr="00000000">
        <w:rPr>
          <w:rtl w:val="0"/>
        </w:rPr>
        <w:t xml:space="preserve">.</w:t>
      </w:r>
      <w:hyperlink r:id="rId40">
        <w:r w:rsidDel="00000000" w:rsidR="00000000" w:rsidRPr="00000000">
          <w:rPr>
            <w:rtl w:val="0"/>
          </w:rPr>
          <w:t xml:space="preserve"> </w:t>
        </w:r>
      </w:hyperlink>
      <w:hyperlink r:id="rId41">
        <w:r w:rsidDel="00000000" w:rsidR="00000000" w:rsidRPr="00000000">
          <w:rPr>
            <w:color w:val="1155cc"/>
            <w:u w:val="single"/>
            <w:rtl w:val="0"/>
          </w:rPr>
          <w:t xml:space="preserve">https://www.egypttoday.com/Article/1/138291/All-Egyptians-will-enjoy-health-insurance-coverage-by-2030-Health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spacing w:after="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APS – The American University in Cairo. (2021). </w:t>
      </w:r>
      <w:r w:rsidDel="00000000" w:rsidR="00000000" w:rsidRPr="00000000">
        <w:rPr>
          <w:i w:val="1"/>
          <w:iCs w:val="1"/>
          <w:rtl w:val="0"/>
        </w:rPr>
        <w:t xml:space="preserve">Social protection and informal employment: Revisiting in/formality</w:t>
      </w:r>
      <w:r w:rsidDel="00000000" w:rsidR="00000000" w:rsidRPr="00000000">
        <w:rPr>
          <w:rtl w:val="0"/>
        </w:rPr>
        <w:t xml:space="preserve">.</w:t>
      </w:r>
      <w:hyperlink r:id="rId42">
        <w:r w:rsidDel="00000000" w:rsidR="00000000" w:rsidRPr="00000000">
          <w:rPr>
            <w:rtl w:val="0"/>
          </w:rPr>
          <w:t xml:space="preserve"> </w:t>
        </w:r>
      </w:hyperlink>
      <w:hyperlink r:id="rId43">
        <w:r w:rsidDel="00000000" w:rsidR="00000000" w:rsidRPr="00000000">
          <w:rPr>
            <w:color w:val="1155cc"/>
            <w:u w:val="single"/>
            <w:rtl w:val="0"/>
          </w:rPr>
          <w:t xml:space="preserve">https://aps.aucegypt.edu/en/articles/746/social-protection-and-informal-employment-revisiting-in-formality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spacing w:after="24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UNICEF. (2024). </w:t>
      </w:r>
      <w:r w:rsidDel="00000000" w:rsidR="00000000" w:rsidRPr="00000000">
        <w:rPr>
          <w:i w:val="1"/>
          <w:iCs w:val="1"/>
          <w:rtl w:val="0"/>
        </w:rPr>
        <w:t xml:space="preserve">Child labour: Eradicating child labour in Egypt (Data Snapshot issue 7)</w:t>
      </w:r>
      <w:r w:rsidDel="00000000" w:rsidR="00000000" w:rsidRPr="00000000">
        <w:rPr>
          <w:rtl w:val="0"/>
        </w:rPr>
        <w:t xml:space="preserve">. UNICEF Egypt.</w:t>
      </w:r>
      <w:hyperlink r:id="rId44">
        <w:r w:rsidDel="00000000" w:rsidR="00000000" w:rsidRPr="00000000">
          <w:rPr>
            <w:rtl w:val="0"/>
          </w:rPr>
          <w:t xml:space="preserve"> </w:t>
        </w:r>
      </w:hyperlink>
      <w:hyperlink r:id="rId45">
        <w:r w:rsidDel="00000000" w:rsidR="00000000" w:rsidRPr="00000000">
          <w:rPr>
            <w:color w:val="1155cc"/>
            <w:u w:val="single"/>
            <w:rtl w:val="0"/>
          </w:rPr>
          <w:t xml:space="preserve">https://www.unicef.org/egypt/media/11851/file/Child%20Labour%3A%20Eradicating%20Child%20Labour%20in%20Egypt.pdf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0" w:sz="0" w:val="none"/>
          <w:bottom w:color="000000" w:space="0" w:sz="0" w:val="none"/>
          <w:right w:color="000000" w:space="4" w:sz="0" w:val="none"/>
          <w:between w:color="000000" w:space="0" w:sz="0" w:val="none"/>
        </w:pBdr>
        <w:shd w:fill="ffffff" w:val="clear"/>
        <w:bidi w:val="1"/>
        <w:spacing w:after="120" w:before="0" w:lineRule="auto"/>
        <w:jc w:val="both"/>
        <w:rPr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4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d0d0d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egypttoday.com/Article/1/138291/All-Egyptians-will-enjoy-health-insurance-coverage-by-2030-Health?utm_source=chatgpt.com" TargetMode="External"/><Relationship Id="rId20" Type="http://schemas.openxmlformats.org/officeDocument/2006/relationships/hyperlink" Target="https://sis.gov.eg/ar/%D9%85%D8%B5%D8%B1/%D8%B1%D8%A4%D9%8A%D8%A9-%D9%85%D8%B5%D8%B1-2030/" TargetMode="External"/><Relationship Id="rId42" Type="http://schemas.openxmlformats.org/officeDocument/2006/relationships/hyperlink" Target="https://aps.aucegypt.edu/en/articles/746/social-protection-and-informal-employment-revisiting-in-formality?utm_source=chatgpt.com" TargetMode="External"/><Relationship Id="rId41" Type="http://schemas.openxmlformats.org/officeDocument/2006/relationships/hyperlink" Target="https://www.egypttoday.com/Article/1/138291/All-Egyptians-will-enjoy-health-insurance-coverage-by-2030-Health" TargetMode="External"/><Relationship Id="rId22" Type="http://schemas.openxmlformats.org/officeDocument/2006/relationships/hyperlink" Target="https://sis.gov.eg/ar/%D9%85%D8%B5%D8%B1/%D8%B1%D8%A4%D9%8A%D8%A9-%D9%85%D8%B5%D8%B1-2030/" TargetMode="External"/><Relationship Id="rId44" Type="http://schemas.openxmlformats.org/officeDocument/2006/relationships/hyperlink" Target="https://www.unicef.org/egypt/media/11851/file/Child%20Labour%3A%20Eradicating%20Child%20Labour%20in%20Egypt.pdf?utm_source=chatgpt.com" TargetMode="External"/><Relationship Id="rId21" Type="http://schemas.openxmlformats.org/officeDocument/2006/relationships/hyperlink" Target="https://sis.gov.eg/ar/%D9%85%D8%B5%D8%B1/%D8%B1%D8%A4%D9%8A%D8%A9-%D9%85%D8%B5%D8%B1-2030/" TargetMode="External"/><Relationship Id="rId43" Type="http://schemas.openxmlformats.org/officeDocument/2006/relationships/hyperlink" Target="https://aps.aucegypt.edu/en/articles/746/social-protection-and-informal-employment-revisiting-in-formality?utm_source=chatgpt.com" TargetMode="External"/><Relationship Id="rId24" Type="http://schemas.openxmlformats.org/officeDocument/2006/relationships/hyperlink" Target="https://sis.gov.eg/ar/%D9%85%D8%B5%D8%B1/%D8%B1%D8%A4%D9%8A%D8%A9-%D9%85%D8%B5%D8%B1-2030/" TargetMode="External"/><Relationship Id="rId46" Type="http://schemas.openxmlformats.org/officeDocument/2006/relationships/header" Target="header1.xml"/><Relationship Id="rId23" Type="http://schemas.openxmlformats.org/officeDocument/2006/relationships/hyperlink" Target="https://sis.gov.eg/ar/%D9%85%D8%B5%D8%B1/%D8%B1%D8%A4%D9%8A%D8%A9-%D9%85%D8%B5%D8%B1-2030/" TargetMode="External"/><Relationship Id="rId45" Type="http://schemas.openxmlformats.org/officeDocument/2006/relationships/hyperlink" Target="https://www.unicef.org/egypt/media/11851/file/Child%20Labour%3A%20Eradicating%20Child%20Labour%20in%20Egypt.pdf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nicef.org" TargetMode="External"/><Relationship Id="rId26" Type="http://schemas.openxmlformats.org/officeDocument/2006/relationships/hyperlink" Target="https://www.dol.gov/agencies/ilab/resources/reports/child-labor/egypt?utm_source=chatgpt.com" TargetMode="External"/><Relationship Id="rId25" Type="http://schemas.openxmlformats.org/officeDocument/2006/relationships/hyperlink" Target="https://sis.gov.eg/ar/%D9%85%D8%B5%D8%B1/%D8%B1%D8%A4%D9%8A%D8%A9-%D9%85%D8%B5%D8%B1-2030/" TargetMode="External"/><Relationship Id="rId28" Type="http://schemas.openxmlformats.org/officeDocument/2006/relationships/hyperlink" Target="https://documents1.worldbank.org/curated/en/820051623771444816/pdf/Helping-Informal-Firms-in-Egypt-to-Cope-with-COVID-19-Crisis.pdf?utm_source=chatgpt.com" TargetMode="External"/><Relationship Id="rId27" Type="http://schemas.openxmlformats.org/officeDocument/2006/relationships/hyperlink" Target="https://www.dol.gov/agencies/ilab/resources/reports/child-labor/egypt?utm_source=chatgpt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documents1.worldbank.org/curated/en/820051623771444816/pdf/Helping-Informal-Firms-in-Egypt-to-Cope-with-COVID-19-Crisis.pdf?utm_source=chatgpt.com" TargetMode="External"/><Relationship Id="rId7" Type="http://schemas.openxmlformats.org/officeDocument/2006/relationships/hyperlink" Target="https://eipr.org/publications/%D8%A5%D8%B5%D8%AF%D8%A7%D8%B1-%D8%AC%D8%AF%D9%8A%D8%AF-%D9%84%D9%84%D9%85%D8%A8%D8%A7%D8%AF%D8%B1%D8%A9-%D8%A7%D9%84%D9%85%D8%B5%D8%B1%D9%8A%D8%A9-%D8%A5%D8%AC%D8%B1%D8%A7%D8%A1%D8%A7%D8%AA-%D8%A7%D9%84%D8%AD%D9%85%D8%A7%D9%8A%D8%A9-%D8%A7%D9%84%D8%A7%D8%AC%D8%AA%D9%85%D8%A7%D8%B9%D9%8A%D8%A9-%D9%85%D8%AD%D8%AF%D9%88%D8%AF%D8%A9-%D9%81%D9%8A-%D9%88%D8%AC%D9%87-%D8%B9%D9%88%D8%A7%D8%B5%D9%81-%D8%AA%D8%AE%D9%81%D9%8A%D8%B6-%D8%A7%D9%84%D8%AC%D9%86%D9%8A%D9%87" TargetMode="External"/><Relationship Id="rId8" Type="http://schemas.openxmlformats.org/officeDocument/2006/relationships/hyperlink" Target="https://ecesr.org/wp-content/uploads/2025/01/%D9%88%D8%A7%D9%82%D8%B9-%D9%88%D9%85%D8%B3%D8%AA%D9%82%D8%A8%D9%84-%D8%A7%D9%84%D8%AD%D9%85%D8%A7%D9%8A%D8%A9-%D8%A7%D9%84%D8%A7%D8%AC%D8%AA%D9%85%D8%A7%D8%B9%D9%8A%D8%A9-%D9%88%D8%B3%D9%8A%D8%A7%D8%B3%D8%A7%D8%AA-%D8%A7%D9%84%D8%AF%D8%B9%D9%85-%D9%88%D8%A7%D9%84%D8%B6%D9%85%D8%A7%D9%86-%D8%A7%D9%84%D8%A7%D8%AC%D8%AA%D9%85%D8%A7%D8%B9%D9%8A-%D9%81%D9%8A-%D9%85%D8%B5%D8%B1-1.pdf" TargetMode="External"/><Relationship Id="rId31" Type="http://schemas.openxmlformats.org/officeDocument/2006/relationships/hyperlink" Target="https://www.macrotrends.net/global-metrics/countries/EGY/egypt/inflation-rate-cpi" TargetMode="External"/><Relationship Id="rId30" Type="http://schemas.openxmlformats.org/officeDocument/2006/relationships/hyperlink" Target="https://www.macrotrends.net/global-metrics/countries/EGY/egypt/inflation-rate-cpi" TargetMode="External"/><Relationship Id="rId11" Type="http://schemas.openxmlformats.org/officeDocument/2006/relationships/hyperlink" Target="https://sis.gov.eg/ar/%D9%85%D8%B5%D8%B1/%D8%B1%D8%A4%D9%8A%D8%A9-%D9%85%D8%B5%D8%B1-2030/" TargetMode="External"/><Relationship Id="rId33" Type="http://schemas.openxmlformats.org/officeDocument/2006/relationships/hyperlink" Target="https://en.amwalalghad.com/4-7m-families-get-additional-ramadan-support-under-takaful-and-karama/?utm_source=chatgpt.com" TargetMode="External"/><Relationship Id="rId10" Type="http://schemas.openxmlformats.org/officeDocument/2006/relationships/hyperlink" Target="https://sis.gov.eg/ar/%D9%85%D8%B5%D8%B1/%D8%B1%D8%A4%D9%8A%D8%A9-%D9%85%D8%B5%D8%B1-2030/" TargetMode="External"/><Relationship Id="rId32" Type="http://schemas.openxmlformats.org/officeDocument/2006/relationships/hyperlink" Target="https://en.amwalalghad.com/4-7m-families-get-additional-ramadan-support-under-takaful-and-karama/?utm_source=chatgpt.com" TargetMode="External"/><Relationship Id="rId13" Type="http://schemas.openxmlformats.org/officeDocument/2006/relationships/hyperlink" Target="https://sis.gov.eg/ar/%D9%85%D8%B5%D8%B1/%D8%B1%D8%A4%D9%8A%D8%A9-%D9%85%D8%B5%D8%B1-2030/" TargetMode="External"/><Relationship Id="rId35" Type="http://schemas.openxmlformats.org/officeDocument/2006/relationships/hyperlink" Target="https://sis.gov.eg/en/projects-initiatives/initiatives/takaful-karama-program/?utm_source=chatgpt.com" TargetMode="External"/><Relationship Id="rId12" Type="http://schemas.openxmlformats.org/officeDocument/2006/relationships/hyperlink" Target="https://sis.gov.eg/ar/%D9%85%D8%B5%D8%B1/%D8%B1%D8%A4%D9%8A%D8%A9-%D9%85%D8%B5%D8%B1-2030/" TargetMode="External"/><Relationship Id="rId34" Type="http://schemas.openxmlformats.org/officeDocument/2006/relationships/hyperlink" Target="https://sis.gov.eg/en/projects-initiatives/initiatives/takaful-karama-program/?utm_source=chatgpt.com" TargetMode="External"/><Relationship Id="rId15" Type="http://schemas.openxmlformats.org/officeDocument/2006/relationships/hyperlink" Target="https://sis.gov.eg/ar/%D9%85%D8%B5%D8%B1/%D8%B1%D8%A4%D9%8A%D8%A9-%D9%85%D8%B5%D8%B1-2030/" TargetMode="External"/><Relationship Id="rId37" Type="http://schemas.openxmlformats.org/officeDocument/2006/relationships/hyperlink" Target="https://newsroom.info/35752?utm_source=chatgpt.com" TargetMode="External"/><Relationship Id="rId14" Type="http://schemas.openxmlformats.org/officeDocument/2006/relationships/hyperlink" Target="https://sis.gov.eg/ar/%D9%85%D8%B5%D8%B1/%D8%B1%D8%A4%D9%8A%D8%A9-%D9%85%D8%B5%D8%B1-2030/" TargetMode="External"/><Relationship Id="rId36" Type="http://schemas.openxmlformats.org/officeDocument/2006/relationships/hyperlink" Target="https://newsroom.info/35752?utm_source=chatgpt.com" TargetMode="External"/><Relationship Id="rId17" Type="http://schemas.openxmlformats.org/officeDocument/2006/relationships/hyperlink" Target="https://sis.gov.eg/ar/%D9%85%D8%B5%D8%B1/%D8%B1%D8%A4%D9%8A%D8%A9-%D9%85%D8%B5%D8%B1-2030/" TargetMode="External"/><Relationship Id="rId39" Type="http://schemas.openxmlformats.org/officeDocument/2006/relationships/hyperlink" Target="https://almanassa.com/en/news/25461" TargetMode="External"/><Relationship Id="rId16" Type="http://schemas.openxmlformats.org/officeDocument/2006/relationships/hyperlink" Target="https://sis.gov.eg/ar/%D9%85%D8%B5%D8%B1/%D8%B1%D8%A4%D9%8A%D8%A9-%D9%85%D8%B5%D8%B1-2030/" TargetMode="External"/><Relationship Id="rId38" Type="http://schemas.openxmlformats.org/officeDocument/2006/relationships/hyperlink" Target="https://almanassa.com/en/news/25461?utm_source=chatgpt.com" TargetMode="External"/><Relationship Id="rId19" Type="http://schemas.openxmlformats.org/officeDocument/2006/relationships/hyperlink" Target="https://sis.gov.eg/ar/%D9%85%D8%B5%D8%B1/%D8%B1%D8%A4%D9%8A%D8%A9-%D9%85%D8%B5%D8%B1-2030/" TargetMode="External"/><Relationship Id="rId18" Type="http://schemas.openxmlformats.org/officeDocument/2006/relationships/hyperlink" Target="https://sis.gov.eg/ar/%D9%85%D8%B5%D8%B1/%D8%B1%D8%A4%D9%8A%D8%A9-%D9%85%D8%B5%D8%B1-20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JwoTKlEy0IWiuqjxe5gpq08hQ==">CgMxLjAyDmgueThmMTYyYjRzZjhuMg5oLmo3aGh2NjNubHpxNjIOaC5veHFqaHlhd2d3ZzIyDmguYXBqNzBwaXpwaHd2Mg5oLnNyejliOGp5ZThmZzIOaC50M3lsM2p5bzFsN3UyDmguejY0ODl5eW51bDNyOAByITFacG5sbjdUa05vN1E2amc0cWRyTnBvZW1QVS1CcFc2MA==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