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F947" w14:textId="77777777" w:rsidR="0053481E" w:rsidRDefault="00000000">
      <w:pPr>
        <w:keepNext/>
        <w:keepLines/>
        <w:pBdr>
          <w:top w:val="nil"/>
          <w:left w:val="nil"/>
          <w:bottom w:val="nil"/>
          <w:right w:val="nil"/>
          <w:between w:val="nil"/>
        </w:pBd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 w:val="center" w:pos="4824"/>
        </w:tabs>
        <w:spacing w:line="270" w:lineRule="auto"/>
        <w:rPr>
          <w:b/>
          <w:color w:val="000000"/>
          <w:sz w:val="24"/>
          <w:szCs w:val="24"/>
        </w:rPr>
      </w:pPr>
      <w:r>
        <w:rPr>
          <w:b/>
          <w:color w:val="000000"/>
          <w:sz w:val="24"/>
          <w:szCs w:val="24"/>
        </w:rPr>
        <w:t>Commission on the Status of Women</w:t>
      </w:r>
    </w:p>
    <w:p w14:paraId="1A0F1AA5" w14:textId="77777777" w:rsidR="0053481E" w:rsidRDefault="00000000">
      <w:pPr>
        <w:keepNext/>
        <w:keepLines/>
        <w:pBdr>
          <w:top w:val="nil"/>
          <w:left w:val="nil"/>
          <w:bottom w:val="nil"/>
          <w:right w:val="nil"/>
          <w:between w:val="nil"/>
        </w:pBd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color w:val="000000"/>
        </w:rPr>
      </w:pPr>
      <w:bookmarkStart w:id="0" w:name="_heading=h.ir5vf1e4xnb" w:colFirst="0" w:colLast="0"/>
      <w:bookmarkEnd w:id="0"/>
      <w:r>
        <w:rPr>
          <w:b/>
          <w:color w:val="000000"/>
        </w:rPr>
        <w:t>Seventieth session</w:t>
      </w:r>
    </w:p>
    <w:p w14:paraId="507DFD8A" w14:textId="77777777" w:rsidR="0053481E" w:rsidRDefault="00000000">
      <w:r>
        <w:t>9-20 March 2026</w:t>
      </w:r>
    </w:p>
    <w:p w14:paraId="0C74698F" w14:textId="77777777" w:rsidR="0053481E" w:rsidRDefault="00000000">
      <w:pPr>
        <w:rPr>
          <w:b/>
        </w:rPr>
      </w:pPr>
      <w:r>
        <w:rPr>
          <w:b/>
        </w:rPr>
        <w:t>Follow-up to the Fourth World Conference on Women and</w:t>
      </w:r>
    </w:p>
    <w:p w14:paraId="69023EEE" w14:textId="77777777" w:rsidR="0053481E" w:rsidRDefault="00000000">
      <w:pPr>
        <w:rPr>
          <w:b/>
        </w:rPr>
      </w:pPr>
      <w:r>
        <w:rPr>
          <w:b/>
        </w:rPr>
        <w:t>to the twenty-third special session of the General Assembly</w:t>
      </w:r>
      <w:r>
        <w:rPr>
          <w:b/>
        </w:rPr>
        <w:br/>
        <w:t xml:space="preserve">entitled “Women 2000: gender equality, development and </w:t>
      </w:r>
      <w:r>
        <w:rPr>
          <w:b/>
        </w:rPr>
        <w:br/>
        <w:t>peace for the twenty-first century”</w:t>
      </w:r>
    </w:p>
    <w:p w14:paraId="16352234" w14:textId="77777777" w:rsidR="0053481E" w:rsidRDefault="0053481E">
      <w:pPr>
        <w:rPr>
          <w:sz w:val="28"/>
          <w:szCs w:val="28"/>
        </w:rPr>
      </w:pPr>
    </w:p>
    <w:p w14:paraId="0F6DF465" w14:textId="77777777" w:rsidR="0053481E" w:rsidRDefault="0053481E">
      <w:pPr>
        <w:rPr>
          <w:sz w:val="28"/>
          <w:szCs w:val="28"/>
        </w:rPr>
      </w:pPr>
    </w:p>
    <w:p w14:paraId="08456F75" w14:textId="77777777" w:rsidR="0053481E" w:rsidRDefault="0053481E">
      <w:pPr>
        <w:rPr>
          <w:sz w:val="28"/>
          <w:szCs w:val="28"/>
        </w:rPr>
      </w:pPr>
    </w:p>
    <w:p w14:paraId="719126CC" w14:textId="220E2F18" w:rsidR="00C918D2" w:rsidRDefault="00C918D2" w:rsidP="00C918D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spacing w:line="300" w:lineRule="auto"/>
        <w:ind w:left="1267" w:right="1260" w:firstLine="17"/>
        <w:rPr>
          <w:b/>
          <w:sz w:val="28"/>
          <w:szCs w:val="28"/>
        </w:rPr>
      </w:pPr>
      <w:r>
        <w:rPr>
          <w:rFonts w:hint="cs"/>
          <w:b/>
          <w:sz w:val="28"/>
          <w:szCs w:val="28"/>
          <w:rtl/>
        </w:rPr>
        <w:t>مؤسسة ا</w:t>
      </w:r>
      <w:r w:rsidRPr="00C918D2">
        <w:rPr>
          <w:b/>
          <w:sz w:val="28"/>
          <w:szCs w:val="28"/>
          <w:rtl/>
        </w:rPr>
        <w:t>لمرأة الجديدة</w:t>
      </w:r>
      <w:r>
        <w:rPr>
          <w:rFonts w:hint="cs"/>
          <w:b/>
          <w:sz w:val="28"/>
          <w:szCs w:val="28"/>
          <w:rtl/>
        </w:rPr>
        <w:t xml:space="preserve">، </w:t>
      </w:r>
      <w:r w:rsidRPr="00C918D2">
        <w:rPr>
          <w:b/>
          <w:sz w:val="28"/>
          <w:szCs w:val="28"/>
          <w:rtl/>
        </w:rPr>
        <w:t>المؤتمر الدائم للمرأة العامل</w:t>
      </w:r>
      <w:r>
        <w:rPr>
          <w:rFonts w:hint="cs"/>
          <w:b/>
          <w:sz w:val="28"/>
          <w:szCs w:val="28"/>
          <w:rtl/>
        </w:rPr>
        <w:t xml:space="preserve">، </w:t>
      </w:r>
      <w:r w:rsidRPr="00C918D2">
        <w:rPr>
          <w:b/>
          <w:sz w:val="28"/>
          <w:szCs w:val="28"/>
          <w:rtl/>
        </w:rPr>
        <w:t>دار الخدمات النقابية والعمالي</w:t>
      </w:r>
      <w:r>
        <w:rPr>
          <w:rFonts w:hint="cs"/>
          <w:b/>
          <w:sz w:val="28"/>
          <w:szCs w:val="28"/>
          <w:rtl/>
        </w:rPr>
        <w:t xml:space="preserve">، </w:t>
      </w:r>
      <w:r w:rsidRPr="00C918D2">
        <w:rPr>
          <w:b/>
          <w:sz w:val="28"/>
          <w:szCs w:val="28"/>
          <w:rtl/>
        </w:rPr>
        <w:t>ملتقى تنمية المرأة</w:t>
      </w:r>
      <w:r>
        <w:rPr>
          <w:rFonts w:hint="cs"/>
          <w:b/>
          <w:sz w:val="28"/>
          <w:szCs w:val="28"/>
          <w:rtl/>
        </w:rPr>
        <w:t xml:space="preserve">، </w:t>
      </w:r>
      <w:r w:rsidRPr="00C918D2">
        <w:rPr>
          <w:b/>
          <w:sz w:val="28"/>
          <w:szCs w:val="28"/>
          <w:rtl/>
        </w:rPr>
        <w:t>جنوبية حرة</w:t>
      </w:r>
      <w:r>
        <w:rPr>
          <w:rFonts w:hint="cs"/>
          <w:b/>
          <w:sz w:val="28"/>
          <w:szCs w:val="28"/>
          <w:rtl/>
        </w:rPr>
        <w:t xml:space="preserve">، </w:t>
      </w:r>
      <w:r w:rsidRPr="00C918D2">
        <w:rPr>
          <w:b/>
          <w:sz w:val="28"/>
          <w:szCs w:val="28"/>
          <w:rtl/>
        </w:rPr>
        <w:t>مصريين بلا حدود</w:t>
      </w:r>
      <w:r>
        <w:rPr>
          <w:rFonts w:hint="cs"/>
          <w:b/>
          <w:sz w:val="28"/>
          <w:szCs w:val="28"/>
          <w:rtl/>
        </w:rPr>
        <w:t xml:space="preserve">، </w:t>
      </w:r>
      <w:r w:rsidRPr="00C918D2">
        <w:rPr>
          <w:b/>
          <w:sz w:val="28"/>
          <w:szCs w:val="28"/>
          <w:rtl/>
        </w:rPr>
        <w:t xml:space="preserve">براح </w:t>
      </w:r>
      <w:r w:rsidRPr="00C918D2">
        <w:rPr>
          <w:rFonts w:hint="cs"/>
          <w:b/>
          <w:sz w:val="28"/>
          <w:szCs w:val="28"/>
          <w:rtl/>
        </w:rPr>
        <w:t>آمن صوت</w:t>
      </w:r>
      <w:r w:rsidRPr="00C918D2">
        <w:rPr>
          <w:b/>
          <w:sz w:val="28"/>
          <w:szCs w:val="28"/>
          <w:rtl/>
        </w:rPr>
        <w:t xml:space="preserve"> لحقوق المرأة</w:t>
      </w:r>
      <w:r>
        <w:rPr>
          <w:rFonts w:hint="cs"/>
          <w:b/>
          <w:sz w:val="28"/>
          <w:szCs w:val="28"/>
          <w:rtl/>
        </w:rPr>
        <w:t xml:space="preserve">، </w:t>
      </w:r>
      <w:r w:rsidRPr="00C918D2">
        <w:rPr>
          <w:b/>
          <w:sz w:val="28"/>
          <w:szCs w:val="28"/>
          <w:rtl/>
        </w:rPr>
        <w:t>جندر رست سند لدعم القانوني للنساء</w:t>
      </w:r>
      <w:r>
        <w:rPr>
          <w:rFonts w:hint="cs"/>
          <w:b/>
          <w:sz w:val="28"/>
          <w:szCs w:val="28"/>
          <w:rtl/>
        </w:rPr>
        <w:t xml:space="preserve">، </w:t>
      </w:r>
      <w:r w:rsidRPr="00C918D2">
        <w:rPr>
          <w:b/>
          <w:sz w:val="28"/>
          <w:szCs w:val="28"/>
          <w:rtl/>
        </w:rPr>
        <w:t>منارة لدعم القانوني والنفسي للنساء</w:t>
      </w:r>
    </w:p>
    <w:p w14:paraId="6AD187C9" w14:textId="5CCAF7CC" w:rsidR="0053481E" w:rsidRDefault="00000000" w:rsidP="00C918D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spacing w:line="300" w:lineRule="auto"/>
        <w:ind w:left="1267" w:right="1260" w:firstLine="17"/>
        <w:jc w:val="both"/>
        <w:rPr>
          <w:b/>
          <w:sz w:val="28"/>
          <w:szCs w:val="28"/>
        </w:rPr>
      </w:pPr>
      <w:r>
        <w:rPr>
          <w:b/>
          <w:sz w:val="28"/>
          <w:szCs w:val="28"/>
        </w:rPr>
        <w:t xml:space="preserve">Statement submitted by The New Woman </w:t>
      </w:r>
      <w:r w:rsidR="00C918D2">
        <w:rPr>
          <w:b/>
          <w:sz w:val="28"/>
          <w:szCs w:val="28"/>
        </w:rPr>
        <w:t>Foundation, Sanad</w:t>
      </w:r>
      <w:r>
        <w:rPr>
          <w:b/>
          <w:sz w:val="28"/>
          <w:szCs w:val="28"/>
        </w:rPr>
        <w:t xml:space="preserve"> Foundation for Legal Support of </w:t>
      </w:r>
      <w:r w:rsidR="00C918D2">
        <w:rPr>
          <w:b/>
          <w:sz w:val="28"/>
          <w:szCs w:val="28"/>
        </w:rPr>
        <w:t>Women, Manara</w:t>
      </w:r>
      <w:r>
        <w:rPr>
          <w:b/>
          <w:sz w:val="28"/>
          <w:szCs w:val="28"/>
        </w:rPr>
        <w:t xml:space="preserve"> Initiative for Legal and Psychological Support of Women in the Canal </w:t>
      </w:r>
      <w:r w:rsidR="00C918D2">
        <w:rPr>
          <w:b/>
          <w:sz w:val="28"/>
          <w:szCs w:val="28"/>
        </w:rPr>
        <w:t>Cities, Sawt</w:t>
      </w:r>
      <w:r>
        <w:rPr>
          <w:b/>
          <w:sz w:val="28"/>
          <w:szCs w:val="28"/>
        </w:rPr>
        <w:t xml:space="preserve"> Initiative for Women's </w:t>
      </w:r>
      <w:r w:rsidR="00C918D2">
        <w:rPr>
          <w:b/>
          <w:sz w:val="28"/>
          <w:szCs w:val="28"/>
        </w:rPr>
        <w:t>Rights, Genderist</w:t>
      </w:r>
      <w:r>
        <w:rPr>
          <w:b/>
          <w:sz w:val="28"/>
          <w:szCs w:val="28"/>
        </w:rPr>
        <w:t xml:space="preserve">, Barah Amen, </w:t>
      </w:r>
      <w:proofErr w:type="spellStart"/>
      <w:r>
        <w:rPr>
          <w:b/>
          <w:sz w:val="28"/>
          <w:szCs w:val="28"/>
        </w:rPr>
        <w:t>Ganoubyya</w:t>
      </w:r>
      <w:proofErr w:type="spellEnd"/>
      <w:r>
        <w:rPr>
          <w:b/>
          <w:sz w:val="28"/>
          <w:szCs w:val="28"/>
        </w:rPr>
        <w:t xml:space="preserve"> Horra, Egyptians Without Borders Foundation, Permanent Conference for Working Women and The Egyptian </w:t>
      </w:r>
      <w:proofErr w:type="spellStart"/>
      <w:r>
        <w:rPr>
          <w:b/>
          <w:sz w:val="28"/>
          <w:szCs w:val="28"/>
        </w:rPr>
        <w:t>Center</w:t>
      </w:r>
      <w:proofErr w:type="spellEnd"/>
      <w:r>
        <w:rPr>
          <w:b/>
          <w:sz w:val="28"/>
          <w:szCs w:val="28"/>
        </w:rPr>
        <w:t xml:space="preserve"> for Trade Union and Workers Services (CTUWS) non-governmental organizations in consultative status with the Economic and Social Council*</w:t>
      </w:r>
    </w:p>
    <w:p w14:paraId="03531146" w14:textId="77777777" w:rsidR="0053481E" w:rsidRDefault="0053481E">
      <w:pPr>
        <w:keepNext/>
        <w:keepLines/>
        <w:pBdr>
          <w:top w:val="nil"/>
          <w:left w:val="nil"/>
          <w:bottom w:val="nil"/>
          <w:right w:val="nil"/>
          <w:between w:val="nil"/>
        </w:pBd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auto"/>
        <w:ind w:left="1267" w:right="1260"/>
        <w:rPr>
          <w:b/>
          <w:sz w:val="28"/>
          <w:szCs w:val="28"/>
        </w:rPr>
      </w:pPr>
    </w:p>
    <w:p w14:paraId="24CA6999" w14:textId="77777777" w:rsidR="0053481E" w:rsidRDefault="0053481E">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color w:val="000000"/>
        </w:rPr>
      </w:pPr>
    </w:p>
    <w:p w14:paraId="0441CAC9" w14:textId="77777777" w:rsidR="0053481E" w:rsidRDefault="00000000">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firstLine="533"/>
        <w:jc w:val="both"/>
        <w:rPr>
          <w:color w:val="000000"/>
        </w:rPr>
      </w:pPr>
      <w:r>
        <w:rPr>
          <w:color w:val="000000"/>
        </w:rPr>
        <w:lastRenderedPageBreak/>
        <w:t>The Secretary-General has received the following statement, which is being circulated in accordance with paragraphs 36 and 37 of Economic and Social Council resolution 1996/31.</w:t>
      </w:r>
    </w:p>
    <w:p w14:paraId="6B0D2DF9" w14:textId="77777777" w:rsidR="0053481E" w:rsidRDefault="00000000">
      <w:pPr>
        <w:tabs>
          <w:tab w:val="left" w:pos="2370"/>
        </w:tabs>
        <w:spacing w:after="160" w:line="259" w:lineRule="auto"/>
      </w:pPr>
      <w:r>
        <w:tab/>
      </w:r>
    </w:p>
    <w:p w14:paraId="6F46CFCF" w14:textId="77777777" w:rsidR="0053481E" w:rsidRDefault="00000000">
      <w:pPr>
        <w:tabs>
          <w:tab w:val="left" w:pos="4590"/>
        </w:tabs>
        <w:spacing w:after="160" w:line="259" w:lineRule="auto"/>
      </w:pPr>
      <w:r>
        <w:tab/>
      </w:r>
    </w:p>
    <w:p w14:paraId="0A9F32C9" w14:textId="77777777" w:rsidR="0053481E" w:rsidRDefault="00000000">
      <w:pPr>
        <w:pBdr>
          <w:top w:val="nil"/>
          <w:left w:val="nil"/>
          <w:bottom w:val="nil"/>
          <w:right w:val="nil"/>
          <w:between w:val="nil"/>
        </w:pBdr>
        <w:tabs>
          <w:tab w:val="center" w:pos="4680"/>
          <w:tab w:val="right" w:pos="9360"/>
        </w:tabs>
        <w:rPr>
          <w:color w:val="000000"/>
        </w:rPr>
      </w:pPr>
      <w:r>
        <w:rPr>
          <w:color w:val="000000"/>
        </w:rPr>
        <w:t>* The present statement is issued without formal editing.</w:t>
      </w:r>
    </w:p>
    <w:p w14:paraId="7CE07289" w14:textId="77777777" w:rsidR="00C918D2" w:rsidRPr="00A85E49" w:rsidRDefault="00C918D2" w:rsidP="00C918D2">
      <w:pPr>
        <w:spacing w:after="160" w:line="259" w:lineRule="auto"/>
        <w:rPr>
          <w:rtl/>
          <w:lang w:val="en-US"/>
        </w:rPr>
      </w:pPr>
    </w:p>
    <w:p w14:paraId="02B3DAF3" w14:textId="7D2B3014" w:rsidR="0053481E" w:rsidRPr="00C918D2" w:rsidRDefault="00000000" w:rsidP="00C918D2">
      <w:pPr>
        <w:spacing w:after="160" w:line="259" w:lineRule="auto"/>
      </w:pPr>
      <w:r>
        <w:rPr>
          <w:b/>
          <w:color w:val="000000"/>
          <w:sz w:val="24"/>
          <w:szCs w:val="24"/>
        </w:rPr>
        <w:t>Statement</w:t>
      </w:r>
      <w:r>
        <w:rPr>
          <w:b/>
          <w:color w:val="000000"/>
          <w:sz w:val="24"/>
          <w:szCs w:val="24"/>
        </w:rPr>
        <w:tab/>
      </w:r>
    </w:p>
    <w:p w14:paraId="48E34E67" w14:textId="77777777" w:rsidR="0053481E" w:rsidRDefault="00000000">
      <w:pPr>
        <w:bidi/>
        <w:spacing w:line="259" w:lineRule="auto"/>
        <w:jc w:val="center"/>
        <w:rPr>
          <w:b/>
          <w:sz w:val="28"/>
          <w:szCs w:val="28"/>
        </w:rPr>
      </w:pPr>
      <w:r>
        <w:rPr>
          <w:b/>
          <w:sz w:val="28"/>
          <w:szCs w:val="28"/>
          <w:rtl/>
        </w:rPr>
        <w:t>أوضاع النساء المصريات: بين نفاذ مبتور للعدالة الجندرية واستمرار المساعي الهامشية لتجميل الصورة</w:t>
      </w:r>
    </w:p>
    <w:p w14:paraId="5343B31D" w14:textId="77777777" w:rsidR="0053481E" w:rsidRDefault="0053481E">
      <w:pPr>
        <w:bidi/>
        <w:spacing w:line="259" w:lineRule="auto"/>
        <w:jc w:val="both"/>
        <w:rPr>
          <w:sz w:val="24"/>
          <w:szCs w:val="24"/>
        </w:rPr>
      </w:pPr>
    </w:p>
    <w:p w14:paraId="673B4D61" w14:textId="77777777" w:rsidR="0053481E" w:rsidRDefault="00000000">
      <w:pPr>
        <w:bidi/>
        <w:spacing w:line="259" w:lineRule="auto"/>
        <w:jc w:val="both"/>
        <w:rPr>
          <w:sz w:val="24"/>
          <w:szCs w:val="24"/>
        </w:rPr>
      </w:pPr>
      <w:r>
        <w:rPr>
          <w:sz w:val="24"/>
          <w:szCs w:val="24"/>
          <w:rtl/>
        </w:rPr>
        <w:t xml:space="preserve"> تطلق منظمات المجتمع المدني النسوي والحقوقي والمبادرات النسوية المصرية بيانها حول النفاذ المبتور للعدالة الجندرية للنساء المصريات على مستويات حقوقية عدة سياسية واجتماعية واقتصادية وثقافية وبيئية وغيرها. يأتي ذلك البيان من خلال متابعتنا قضايا أوضاع النساء المطروحة للنقاش في جلسة رقم 70 للجنة أوضاع المرأة والمقرر انعقادها دوريًا في مقر الأمم المتحدة، والتي تتخذ من النفاذ للعدالة الجندرية موضوع رئيسي لفاعليتها الدولية. </w:t>
      </w:r>
    </w:p>
    <w:p w14:paraId="69146704" w14:textId="77777777" w:rsidR="0053481E" w:rsidRDefault="0053481E">
      <w:pPr>
        <w:bidi/>
        <w:spacing w:line="259" w:lineRule="auto"/>
        <w:jc w:val="both"/>
        <w:rPr>
          <w:sz w:val="24"/>
          <w:szCs w:val="24"/>
        </w:rPr>
      </w:pPr>
    </w:p>
    <w:p w14:paraId="4EC0EA0E" w14:textId="77777777" w:rsidR="0053481E" w:rsidRDefault="00000000">
      <w:pPr>
        <w:bidi/>
        <w:spacing w:line="259" w:lineRule="auto"/>
        <w:jc w:val="both"/>
        <w:rPr>
          <w:b/>
          <w:sz w:val="24"/>
          <w:szCs w:val="24"/>
        </w:rPr>
      </w:pPr>
      <w:r>
        <w:rPr>
          <w:b/>
          <w:sz w:val="24"/>
          <w:szCs w:val="24"/>
          <w:rtl/>
        </w:rPr>
        <w:t>النفاذ للحماية التشريعية من العنف في المجال العام والخاص</w:t>
      </w:r>
    </w:p>
    <w:p w14:paraId="59E0009D" w14:textId="77777777" w:rsidR="0053481E" w:rsidRDefault="0053481E">
      <w:pPr>
        <w:bidi/>
        <w:spacing w:line="259" w:lineRule="auto"/>
        <w:jc w:val="both"/>
        <w:rPr>
          <w:b/>
          <w:sz w:val="24"/>
          <w:szCs w:val="24"/>
        </w:rPr>
      </w:pPr>
    </w:p>
    <w:p w14:paraId="01846599" w14:textId="77777777" w:rsidR="0053481E" w:rsidRDefault="00000000">
      <w:pPr>
        <w:bidi/>
        <w:spacing w:line="259" w:lineRule="auto"/>
        <w:jc w:val="both"/>
        <w:rPr>
          <w:sz w:val="24"/>
          <w:szCs w:val="24"/>
        </w:rPr>
      </w:pPr>
      <w:r>
        <w:rPr>
          <w:sz w:val="24"/>
          <w:szCs w:val="24"/>
          <w:rtl/>
        </w:rPr>
        <w:t xml:space="preserve">تشهد الحالة المصرية ارتفاع غير مسبوق في معدلات قتل النساء في كل من المجال الخاص والعام، في المقابل تتعثر الحماية التشريعية من العنف ضد النساء على توفير الاستحقاق الواجب لتوفير العدالة، والحد من الانفلات من العقاب، ووقف التسامح أو التطبيع التشريعي والمجتمعي مع جرائم العنف الأسري وغيره من أشكال من العنف ضد النساء. يظهر ذلك من خلال عدة مواضع ومنها تعثر البرلمان السابق في دورات انعقاده المختلفة على إصدار حزمة مترابطة ومتكاملة من الحماية التشريعية من العنف ضد النساء المصريات، ومنها تعثر إصدار قانون جديد للأحوال الشخصية بعد أن مرّ على إصداره أكثر من قرن كامل، ورغم جهود الحركة النسوية المتراكمة لطرح تصورات تشريعية بديلة يمكن طرحها ونقاشها مع المجتمع والبرلمان. </w:t>
      </w:r>
    </w:p>
    <w:p w14:paraId="4F3A5AE6" w14:textId="77777777" w:rsidR="0053481E" w:rsidRDefault="0053481E">
      <w:pPr>
        <w:bidi/>
        <w:spacing w:line="259" w:lineRule="auto"/>
        <w:jc w:val="both"/>
        <w:rPr>
          <w:sz w:val="24"/>
          <w:szCs w:val="24"/>
        </w:rPr>
      </w:pPr>
    </w:p>
    <w:p w14:paraId="0CBE0BDD" w14:textId="77777777" w:rsidR="0053481E" w:rsidRDefault="00000000">
      <w:pPr>
        <w:bidi/>
        <w:spacing w:line="259" w:lineRule="auto"/>
        <w:jc w:val="both"/>
        <w:rPr>
          <w:sz w:val="24"/>
          <w:szCs w:val="24"/>
        </w:rPr>
      </w:pPr>
      <w:r>
        <w:rPr>
          <w:sz w:val="24"/>
          <w:szCs w:val="24"/>
          <w:rtl/>
        </w:rPr>
        <w:t xml:space="preserve">كما يشهد مسار العدالة تعثر ملحوظ في تحقيق الحد من الإفلات من العقاب في جرائم القتل النساء في المجال الخاص تحديدًا، حيث رصدت منظمات المجتمع المدني النسوي تأثير بالغ التأثر لمسار التقاضي والعدالة بالمواد 17 و60 من قانون العقوبات المصري والتي تجيز الحق في التأديب والسلطة التقديرية المطلقة للقضاة، فيما انعكس بشكل ملحوظ على تراجع توقيع العقوبات الحقوقية المناسبة لجرائم القتل في إطار الاسرة. </w:t>
      </w:r>
    </w:p>
    <w:p w14:paraId="71D9E836" w14:textId="77777777" w:rsidR="0053481E" w:rsidRDefault="0053481E">
      <w:pPr>
        <w:bidi/>
        <w:spacing w:line="259" w:lineRule="auto"/>
        <w:jc w:val="both"/>
        <w:rPr>
          <w:sz w:val="24"/>
          <w:szCs w:val="24"/>
        </w:rPr>
      </w:pPr>
    </w:p>
    <w:p w14:paraId="4FAE5208" w14:textId="77777777" w:rsidR="0053481E" w:rsidRDefault="00000000">
      <w:pPr>
        <w:bidi/>
        <w:spacing w:line="259" w:lineRule="auto"/>
        <w:jc w:val="both"/>
        <w:rPr>
          <w:sz w:val="24"/>
          <w:szCs w:val="24"/>
        </w:rPr>
      </w:pPr>
      <w:r>
        <w:rPr>
          <w:sz w:val="24"/>
          <w:szCs w:val="24"/>
          <w:rtl/>
        </w:rPr>
        <w:t xml:space="preserve">على صعيد آخر، تزداد وقائع العنف الالكتروني، وترتفع معدلات الابتزاز الجنسي ضد النساء والفتيات، بما يسجل وقع حالات انتحار لعدد من الفتيات في المناطق المهمشة والفقيرة، ورغم حملات الحركة النسوية المتعددة لضرورة الانتباه والتدخل التشريعي والسياسي لوقف العنف الالكتروني وجرائم الابتزاز الجنسي، إلا أن الاستجابة الرسمية للسلطة التنفيذية والتشريعية تكاد تكون صفرية تجاه إقرار قانون موحد لمناهضة العنف، أو تضمين بنود تشريعية لمواجهة تطور أشكال جرائم العنف ضد النساء والفتيات. </w:t>
      </w:r>
    </w:p>
    <w:p w14:paraId="6D8DE4D4" w14:textId="77777777" w:rsidR="0053481E" w:rsidRDefault="0053481E">
      <w:pPr>
        <w:bidi/>
        <w:spacing w:line="259" w:lineRule="auto"/>
        <w:jc w:val="both"/>
        <w:rPr>
          <w:sz w:val="24"/>
          <w:szCs w:val="24"/>
        </w:rPr>
      </w:pPr>
    </w:p>
    <w:p w14:paraId="779096BE" w14:textId="77777777" w:rsidR="0053481E" w:rsidRDefault="00000000">
      <w:pPr>
        <w:bidi/>
        <w:spacing w:line="259" w:lineRule="auto"/>
        <w:jc w:val="both"/>
        <w:rPr>
          <w:sz w:val="24"/>
          <w:szCs w:val="24"/>
        </w:rPr>
      </w:pPr>
      <w:r>
        <w:rPr>
          <w:sz w:val="24"/>
          <w:szCs w:val="24"/>
          <w:rtl/>
        </w:rPr>
        <w:t xml:space="preserve">كما لا زال النفاذ لخدمات مناهضة العنف ضد النساء على مستوى توفر مراكز الإيواء، والتعامل مع الطوارئ بتوفير أشكال الحماية العاجلة يعد قاصرًا ولا يستوفي الكفاية والكفاءة الواجبة لحجم الارتفاع في جرائم العنف ضد المرأة. </w:t>
      </w:r>
    </w:p>
    <w:p w14:paraId="00F3EF70" w14:textId="77777777" w:rsidR="0053481E" w:rsidRDefault="0053481E">
      <w:pPr>
        <w:bidi/>
        <w:spacing w:line="259" w:lineRule="auto"/>
        <w:jc w:val="both"/>
        <w:rPr>
          <w:sz w:val="24"/>
          <w:szCs w:val="24"/>
        </w:rPr>
      </w:pPr>
    </w:p>
    <w:p w14:paraId="29354B45" w14:textId="77777777" w:rsidR="0053481E" w:rsidRDefault="00000000">
      <w:pPr>
        <w:bidi/>
        <w:spacing w:line="259" w:lineRule="auto"/>
        <w:jc w:val="both"/>
        <w:rPr>
          <w:sz w:val="24"/>
          <w:szCs w:val="24"/>
        </w:rPr>
      </w:pPr>
      <w:r>
        <w:rPr>
          <w:sz w:val="24"/>
          <w:szCs w:val="24"/>
          <w:rtl/>
        </w:rPr>
        <w:lastRenderedPageBreak/>
        <w:t xml:space="preserve">ورغم القليل من الجهد المقدم من بعض المؤسسات الرسمية في إحداث تطور رقمي لتيسير النفاذ للعدالة، إلا أننا شهدنا في المقابل ارتفاع عشوائي في مخصصات الرسوم القضائية، بما يهدد الحق الدستوري الأصيل في النفاذ العادل لخدمات التقاضي وغيرها، ويجعل مخصصات الرسوم القضائية أقرب إلى الإتاوات متفاوتة للحصول على الحق في التقاضي ويعثر مسار النفاذ إلى المدافعة والتقاضي. </w:t>
      </w:r>
    </w:p>
    <w:p w14:paraId="7C9556A7" w14:textId="77777777" w:rsidR="0053481E" w:rsidRDefault="0053481E">
      <w:pPr>
        <w:bidi/>
        <w:spacing w:line="259" w:lineRule="auto"/>
        <w:jc w:val="both"/>
        <w:rPr>
          <w:sz w:val="24"/>
          <w:szCs w:val="24"/>
        </w:rPr>
      </w:pPr>
    </w:p>
    <w:p w14:paraId="082A400B" w14:textId="77777777" w:rsidR="0053481E" w:rsidRDefault="00000000">
      <w:pPr>
        <w:bidi/>
        <w:spacing w:line="259" w:lineRule="auto"/>
        <w:jc w:val="both"/>
        <w:rPr>
          <w:sz w:val="24"/>
          <w:szCs w:val="24"/>
        </w:rPr>
      </w:pPr>
      <w:r>
        <w:rPr>
          <w:sz w:val="24"/>
          <w:szCs w:val="24"/>
          <w:rtl/>
        </w:rPr>
        <w:t xml:space="preserve">كما تشهد بعض صانعات المحتوى والمؤثرات على مواقع التواصل الاجتماعي نوبات عنيفة ومتراكمة من القبضات الأمنية من 2022 وحتى الآن، استنادًا على تعاريف مطاطية وأخلاقية "لمبادئ وقيم الأسرة المصرية "حسب قانون الجريمة الإلكترونية وغيرها من القوانين ذات صلة. </w:t>
      </w:r>
    </w:p>
    <w:p w14:paraId="57E78923" w14:textId="77777777" w:rsidR="0053481E" w:rsidRDefault="0053481E">
      <w:pPr>
        <w:bidi/>
        <w:spacing w:line="259" w:lineRule="auto"/>
        <w:jc w:val="both"/>
        <w:rPr>
          <w:sz w:val="24"/>
          <w:szCs w:val="24"/>
        </w:rPr>
      </w:pPr>
    </w:p>
    <w:p w14:paraId="6884E4D2" w14:textId="77777777" w:rsidR="0053481E" w:rsidRDefault="00000000">
      <w:pPr>
        <w:bidi/>
        <w:spacing w:line="259" w:lineRule="auto"/>
        <w:jc w:val="both"/>
        <w:rPr>
          <w:sz w:val="24"/>
          <w:szCs w:val="24"/>
        </w:rPr>
      </w:pPr>
      <w:r>
        <w:rPr>
          <w:sz w:val="24"/>
          <w:szCs w:val="24"/>
          <w:rtl/>
        </w:rPr>
        <w:t>وفي امتداد لتدخلات التضييق، وتهديد الحق في النفاذ للعدالة والعدالة الجندرية، تشهد البلاد إرباك كبير حول قانون الإجراءات الجنائية، بما يشمل توسع في اختصاصات السلطة العامة للقبض والتحقيق وتهديد لعدالة الإبلاغ وحرمة الحياة الشخصية وكفالة الحق في الدفاع والمرافعة. وفي هذا السياق، لا يمكن فصل تنامي معدلات العنف ضد النساء وتزايد في وتيرته وطبيعته عن السياق الأوسع من تضييق المجال العام والفضاء السياسي والمدني في مصر، وتبني سياسات اقتصادية تزيد من حالة الضغط والتهديد للسلم الاجتماعي بصورة عامة، مما ساهم في إعادة إنتاج الهشاشة والتبعية والتمييز الهيكلي.</w:t>
      </w:r>
    </w:p>
    <w:p w14:paraId="4D4B35B6" w14:textId="77777777" w:rsidR="0053481E" w:rsidRDefault="0053481E">
      <w:pPr>
        <w:bidi/>
        <w:spacing w:line="259" w:lineRule="auto"/>
        <w:jc w:val="both"/>
        <w:rPr>
          <w:sz w:val="24"/>
          <w:szCs w:val="24"/>
        </w:rPr>
      </w:pPr>
    </w:p>
    <w:p w14:paraId="595876C2" w14:textId="77777777" w:rsidR="0053481E" w:rsidRDefault="00000000">
      <w:pPr>
        <w:bidi/>
        <w:spacing w:line="259" w:lineRule="auto"/>
        <w:jc w:val="both"/>
        <w:rPr>
          <w:sz w:val="24"/>
          <w:szCs w:val="24"/>
        </w:rPr>
      </w:pPr>
      <w:r>
        <w:rPr>
          <w:sz w:val="24"/>
          <w:szCs w:val="24"/>
          <w:rtl/>
        </w:rPr>
        <w:t xml:space="preserve">أما فيما يخص واقع الحقوق الاقتصادية والاجتماعية للنساء، فوفقًا التقارير الدولية للأمم المتحدة تشهد أوضاع النساء تراجعًا ملحوظًا على مستوى تحقيق المساواة بين الجنسين، وتزايد في معدلات الخروج من مساحات ونوافذ العمل، وبل وعلى سبيل المثال شهد قطاع الخدمات الطبية حالات وفاة استقالات جماعية لطبيبات وممرضات في أقسام النساء والولادة لأسباب تتعلق بتزايد ساعات العمل بما يجعلها الأقرب للسخرة، وتعثر في تحقيق لافت لمؤشرات العمل اللائق سواء في قطاعاته المختلفة. </w:t>
      </w:r>
    </w:p>
    <w:p w14:paraId="31D0E30B" w14:textId="77777777" w:rsidR="0053481E" w:rsidRDefault="0053481E">
      <w:pPr>
        <w:bidi/>
        <w:spacing w:line="259" w:lineRule="auto"/>
        <w:jc w:val="both"/>
        <w:rPr>
          <w:sz w:val="24"/>
          <w:szCs w:val="24"/>
        </w:rPr>
      </w:pPr>
    </w:p>
    <w:p w14:paraId="35A2EC6C" w14:textId="77777777" w:rsidR="0053481E" w:rsidRDefault="00000000">
      <w:pPr>
        <w:bidi/>
        <w:spacing w:line="259" w:lineRule="auto"/>
        <w:jc w:val="both"/>
        <w:rPr>
          <w:sz w:val="24"/>
          <w:szCs w:val="24"/>
        </w:rPr>
      </w:pPr>
      <w:r>
        <w:rPr>
          <w:sz w:val="24"/>
          <w:szCs w:val="24"/>
          <w:rtl/>
        </w:rPr>
        <w:t xml:space="preserve">كما شهدنا فاجعة جلل في وفاة عشرين فتاة في مراحل التعليم المختلفة من العاملات في قطاع الزراعة، في توالي مبالغ لحوادث الطرق السريعة، يجعل العمالة أكثر تهميشًا وفقرًا من النساء والفتيات في قطاع الزراعة هن الأقرب لضحايا ضعف الحماية الاجتماعية من أجور وتأمينات ومعاشات، إضافة إلى ضمانات السلامة المهنية. كذلك، فيتضح من السياسات الاقتصادية التي تتبناها الدولة ميولها المباشرة نحو إعادة هيكلة عميقة فرضت سياسات تقشفية وخصخصة للخدمات العامة، وكذلك مع ثبات معدلات الأجور في ظل معدلات التضخم وكلفة الخدمات والاحتياجات الأساسية للأسرة، ورفع الدعم، وتدهور البنية الاجتماعية للرعاية، دفعت هذه العوامل إلى انسحاب النساء من سوق العمل أو اضطررن للعمل في ظروف غير رسمية وغير آمنة. </w:t>
      </w:r>
    </w:p>
    <w:p w14:paraId="4654B364" w14:textId="77777777" w:rsidR="0053481E" w:rsidRDefault="0053481E">
      <w:pPr>
        <w:bidi/>
        <w:spacing w:line="259" w:lineRule="auto"/>
        <w:jc w:val="both"/>
        <w:rPr>
          <w:sz w:val="24"/>
          <w:szCs w:val="24"/>
        </w:rPr>
      </w:pPr>
    </w:p>
    <w:p w14:paraId="3A72DA19" w14:textId="77777777" w:rsidR="0053481E" w:rsidRDefault="00000000">
      <w:pPr>
        <w:bidi/>
        <w:spacing w:line="259" w:lineRule="auto"/>
        <w:jc w:val="both"/>
        <w:rPr>
          <w:sz w:val="24"/>
          <w:szCs w:val="24"/>
        </w:rPr>
      </w:pPr>
      <w:r>
        <w:rPr>
          <w:sz w:val="24"/>
          <w:szCs w:val="24"/>
          <w:rtl/>
        </w:rPr>
        <w:t>كذلك، تمثل أزمة التغيرات المناخية تهديدًا لأوضاع العدالة الاجتماعية والاقتصادية للنساء في مصر والمنطقة، فالنساء، لا سيما في المناطق الأكثر تهميشًا وبُعدًا عن المركز، تتحمل العبء الأكبر لهذا الواقع من حيث فقدان سبل العيش، تدهور وتحديات سبل ونوافذ الوصول إلى الخدمات الأساسية كالمياه وموارد الطاقة كالغاز والكهرباء، وانعدام الأمن الغذائي، حيث يتم توظيف سياسات المناخ لتمرير تدابير تقشفية وهيكلية جديدة، ومنها رفع الدعم عن الطاقة والنقل، وتوسيع الشراكات مع مؤسسات التمويل الدولية في مشاريع يتم تسويقها بوصفها مشروعات صديقة للبيئة، بينما تؤدي واقعيًا إلى نقل كلفة التكيف إلى الفئات الأكثر هشاشة وأبرزها النساء. وفي ضوء ذلك، تفاقم هذه السياسات عبء المعيشة والرعاية غير المدفوعة، خاصة مع ارتفاع أسعار الكهرباء والوقود والمواصلات، مما يقيد حركة النساء ويحد من فرص مشاركتهن في الحياة الاقتصادية والاجتماعية. كما يؤدي تدهور البنية الأساسية للخدمات بجانب التغيرات المناخية وموجات التحرر والبرودة العنيفة إلى تغير أنماط الزراعة، وبالتالي فقدان آلاف النساء لأعمالهن في القطاع الزراعي، دون توفير بدائل أو شبكات حماية اجتماعية عادلة.</w:t>
      </w:r>
    </w:p>
    <w:p w14:paraId="6325B198" w14:textId="77777777" w:rsidR="0053481E" w:rsidRDefault="0053481E">
      <w:pPr>
        <w:bidi/>
        <w:spacing w:line="259" w:lineRule="auto"/>
        <w:jc w:val="both"/>
        <w:rPr>
          <w:sz w:val="24"/>
          <w:szCs w:val="24"/>
        </w:rPr>
      </w:pPr>
    </w:p>
    <w:p w14:paraId="381AFD1F" w14:textId="77777777" w:rsidR="0053481E" w:rsidRDefault="00000000">
      <w:pPr>
        <w:bidi/>
        <w:spacing w:line="259" w:lineRule="auto"/>
        <w:jc w:val="both"/>
        <w:rPr>
          <w:sz w:val="24"/>
          <w:szCs w:val="24"/>
        </w:rPr>
      </w:pPr>
      <w:r>
        <w:rPr>
          <w:sz w:val="24"/>
          <w:szCs w:val="24"/>
          <w:rtl/>
        </w:rPr>
        <w:t>وتؤكد المنظمات النسوية المصرية أن أية مسارات عادلة لمواجهة تغير المناخ يجب أن يتجاوز منطق التقشف والخصخصة، وأن يضمن عدالة توزيع الموارد، والمساءلة على التمويل المناخي، ومشاركة النساء في صنع القرار في كل مراحل التخطيط والتنفيذ، بما ينسجم مع مبادئ العدالة البيئية والاجتماعية.</w:t>
      </w:r>
    </w:p>
    <w:p w14:paraId="7E6D4D20" w14:textId="77777777" w:rsidR="0053481E" w:rsidRDefault="0053481E">
      <w:pPr>
        <w:bidi/>
        <w:spacing w:line="259" w:lineRule="auto"/>
        <w:jc w:val="both"/>
        <w:rPr>
          <w:sz w:val="24"/>
          <w:szCs w:val="24"/>
        </w:rPr>
      </w:pPr>
    </w:p>
    <w:p w14:paraId="4234ADAD" w14:textId="77777777" w:rsidR="0053481E" w:rsidRDefault="00000000">
      <w:pPr>
        <w:bidi/>
        <w:spacing w:line="259" w:lineRule="auto"/>
        <w:jc w:val="both"/>
        <w:rPr>
          <w:b/>
          <w:sz w:val="24"/>
          <w:szCs w:val="24"/>
        </w:rPr>
      </w:pPr>
      <w:r>
        <w:rPr>
          <w:b/>
          <w:sz w:val="24"/>
          <w:szCs w:val="24"/>
          <w:rtl/>
        </w:rPr>
        <w:t xml:space="preserve">الوصول للعدالة داخل مناطق النزاع وفي ظل الاحتلال: </w:t>
      </w:r>
    </w:p>
    <w:p w14:paraId="79F792CC" w14:textId="77777777" w:rsidR="0053481E" w:rsidRDefault="0053481E">
      <w:pPr>
        <w:bidi/>
        <w:spacing w:line="259" w:lineRule="auto"/>
        <w:jc w:val="both"/>
        <w:rPr>
          <w:sz w:val="24"/>
          <w:szCs w:val="24"/>
        </w:rPr>
      </w:pPr>
    </w:p>
    <w:p w14:paraId="29C78ADB" w14:textId="77777777" w:rsidR="0053481E" w:rsidRDefault="00000000">
      <w:pPr>
        <w:bidi/>
        <w:spacing w:line="259" w:lineRule="auto"/>
        <w:jc w:val="both"/>
        <w:rPr>
          <w:sz w:val="24"/>
          <w:szCs w:val="24"/>
        </w:rPr>
      </w:pPr>
      <w:r>
        <w:rPr>
          <w:sz w:val="24"/>
          <w:szCs w:val="24"/>
          <w:rtl/>
        </w:rPr>
        <w:t xml:space="preserve">ومع توسع نطاق الحرب والعسكرة في المنطقة، شهدت مصر حركة لجوء واسعة من دول الجوار تحت النزاع المسلح، عجزت على استيعابها سياسات إدارة الطوارئ والأزمات لتوفير ضمانات حقوقية واجبة للاجئات والناجيات من الحرب في السودان </w:t>
      </w:r>
      <w:proofErr w:type="gramStart"/>
      <w:r>
        <w:rPr>
          <w:sz w:val="24"/>
          <w:szCs w:val="24"/>
          <w:rtl/>
        </w:rPr>
        <w:t>و الإبادة</w:t>
      </w:r>
      <w:proofErr w:type="gramEnd"/>
      <w:r>
        <w:rPr>
          <w:sz w:val="24"/>
          <w:szCs w:val="24"/>
          <w:rtl/>
        </w:rPr>
        <w:t xml:space="preserve"> في </w:t>
      </w:r>
      <w:proofErr w:type="gramStart"/>
      <w:r>
        <w:rPr>
          <w:sz w:val="24"/>
          <w:szCs w:val="24"/>
          <w:rtl/>
        </w:rPr>
        <w:t>غزة ،</w:t>
      </w:r>
      <w:proofErr w:type="gramEnd"/>
      <w:r>
        <w:rPr>
          <w:sz w:val="24"/>
          <w:szCs w:val="24"/>
          <w:rtl/>
        </w:rPr>
        <w:t xml:space="preserve"> تحديدًا على مستوى العمل والنفاذ لخدمات الصحة والتعليم. كما شهد قانون اللجوء جدلاً حقوقيًا واسعًا فيما يخص ضمانات حقوق اللجوء وفقًا للمواثيق الدولية. وفيما يخص الوضع في فلسطين، فمع إعلان وقف إطلاق النار في غزة، تظل مصر محطة حاسمة لأوضاع الناجيات من حرب الإبادة، لكن دون منظومة خدمية داعمة تضمن لهن الحماية والكرامة.</w:t>
      </w:r>
    </w:p>
    <w:p w14:paraId="6726B904" w14:textId="77777777" w:rsidR="0053481E" w:rsidRDefault="0053481E">
      <w:pPr>
        <w:bidi/>
        <w:spacing w:line="259" w:lineRule="auto"/>
        <w:jc w:val="both"/>
        <w:rPr>
          <w:sz w:val="24"/>
          <w:szCs w:val="24"/>
        </w:rPr>
      </w:pPr>
    </w:p>
    <w:p w14:paraId="5394B6E7" w14:textId="77777777" w:rsidR="0053481E" w:rsidRDefault="00000000">
      <w:pPr>
        <w:bidi/>
        <w:spacing w:line="259" w:lineRule="auto"/>
        <w:jc w:val="both"/>
        <w:rPr>
          <w:sz w:val="24"/>
          <w:szCs w:val="24"/>
        </w:rPr>
      </w:pPr>
      <w:r>
        <w:rPr>
          <w:sz w:val="24"/>
          <w:szCs w:val="24"/>
          <w:rtl/>
        </w:rPr>
        <w:t>كذلك، من الضروري الإشارة إلى تعقيدات الوضع في سوريا كنموذج مركب ما بين نظام سياسي مستبد، من المفترض كونه مرحلة انتقالية، مع تدخلات استعمارية جديدة متعذرين بتبني ملف العدالة الانتقالية من أجل تحقيق تحول ديمقراطي في سوريا، بينما تأتي بآليات قاصرة في طرحها للجان المصارحة وجبر الضرر، فلا يمكن فصل المساءلة عن البنية الدولية التي ساهمت في استمرار النزاع، سواء عبر عسكرة المساعدات، أو تحويل مسارات العدالة إلى أدوات نفوذ جيوسياسي. كذلك، إدماج المجتمع السوري والنساء في منهجية وآليات العدالة الانتقالية، لتشكيلها من واقع تجاربهن بين ذاكرة الاعتقال والتعذيب والنزوح، وتردي الأوضاع الاقتصادية والاجتماعية، والتأكيد على التجارب والسياقات المحلية في لجان التوثيق والمساءلة المجتمعية، وتجاوز الرؤية الاستعمارية التقليدية لآليات العدالة الانتقالية كمنهجية لتجاوز فقط انتهاكات الحقوق المدنية والسياسية بمعزل عن رؤية أطياف المجتمع لواقعها.</w:t>
      </w:r>
    </w:p>
    <w:p w14:paraId="0B399DB4" w14:textId="77777777" w:rsidR="0053481E" w:rsidRDefault="0053481E">
      <w:pPr>
        <w:bidi/>
        <w:spacing w:line="259" w:lineRule="auto"/>
        <w:jc w:val="both"/>
        <w:rPr>
          <w:sz w:val="24"/>
          <w:szCs w:val="24"/>
        </w:rPr>
      </w:pPr>
    </w:p>
    <w:p w14:paraId="3C63B771" w14:textId="77777777" w:rsidR="0053481E" w:rsidRDefault="00000000">
      <w:pPr>
        <w:bidi/>
        <w:spacing w:line="259" w:lineRule="auto"/>
        <w:jc w:val="both"/>
        <w:rPr>
          <w:sz w:val="24"/>
          <w:szCs w:val="24"/>
        </w:rPr>
      </w:pPr>
      <w:r>
        <w:rPr>
          <w:sz w:val="24"/>
          <w:szCs w:val="24"/>
          <w:rtl/>
        </w:rPr>
        <w:t xml:space="preserve">العدالة النسوية ليست مجرد مطلب عقابي يقتصر على محاسبة الجناة، بل هي عملية شاملة تهدف إلى إنصاف الضحايا والناجيات والاعتراف بالآثار المترتبة على العنف والتمييز الذي تتعرض له النساء. هذا المفهوم يتجذر في فهم تقاطعية النوع الاجتماعي مع القضايا الاجتماعية والاقتصادية والسياسية التي تعزز التمييز وتكرس العنف ضد النساء. تنطلق العدالة النسوية من محاور مترابطة بين العدالة العقابية والعدالة </w:t>
      </w:r>
      <w:proofErr w:type="gramStart"/>
      <w:r>
        <w:rPr>
          <w:sz w:val="24"/>
          <w:szCs w:val="24"/>
          <w:rtl/>
        </w:rPr>
        <w:t>الاجتماعية  السياسية</w:t>
      </w:r>
      <w:proofErr w:type="gramEnd"/>
      <w:r>
        <w:rPr>
          <w:sz w:val="24"/>
          <w:szCs w:val="24"/>
          <w:rtl/>
        </w:rPr>
        <w:t xml:space="preserve"> والاقتصادية والعدالة التعويضية.  ترتبط العدالة العقابية بمحاسبة الجهات والأفراد المسؤولين عن العنف بما يشمل ذلك توفير آليات قانونية واضحة وفعالة لمساءلة الجناة، سواء في المحاكم المحلية أو الدولية وبما يضمن عدم إفلاتهم من العقاب. إضافة إلى ذلك، يجب أن تضمن العدالة العقابية أن تكون النساء شريكات رئيسيات في جميع مراحل التحقيق والمحاكمة، مما يتيح سماع أصواتهنّ وخبراتهنّ وفهمًا عميقًا لتجاربهنّ.  كما تتطلب العدالة النسوية معالجة التحديات الهيكلية التي تواجه النساء وتحد من مشاركتهن الفعلية في الحياة العامة وبالتبعية ليس فقط من حيث الوصول إلى العدالة وإنما أيضًا في ضمان تنفيذها. يتضمن ذلك إزالة الحواجز التي تعيق مشاركتهن الاقتصادية والسياسية والاعتراف بالخسائر التي تكبدتها النساء نتيجة العنف والتمييز. يتم ذلك من خلال توفير برامج تعويض شاملة تراعي الاحتياجات المادية والنفسية والاجتماعية للناجيات، بما يساهم في التخفيف من حدة آثار العنف وإعادة بناء حياتهن من خلال تحقيق العدالة الانتقالية وتقديم دعم اقتصادي، وعلاج نفسي، وفرص تعليمية ومهنية تعزز من إعادة إدماجهن داخل المجتمع.</w:t>
      </w:r>
    </w:p>
    <w:p w14:paraId="5881349A" w14:textId="77777777" w:rsidR="0053481E" w:rsidRDefault="0053481E">
      <w:pPr>
        <w:bidi/>
        <w:spacing w:line="259" w:lineRule="auto"/>
        <w:jc w:val="both"/>
        <w:rPr>
          <w:sz w:val="24"/>
          <w:szCs w:val="24"/>
        </w:rPr>
      </w:pPr>
    </w:p>
    <w:p w14:paraId="6FCBEDE1" w14:textId="77777777" w:rsidR="0053481E" w:rsidRDefault="00000000">
      <w:pPr>
        <w:bidi/>
        <w:spacing w:line="259" w:lineRule="auto"/>
        <w:jc w:val="both"/>
        <w:rPr>
          <w:sz w:val="24"/>
          <w:szCs w:val="24"/>
        </w:rPr>
      </w:pPr>
      <w:r>
        <w:rPr>
          <w:sz w:val="24"/>
          <w:szCs w:val="24"/>
          <w:rtl/>
        </w:rPr>
        <w:t xml:space="preserve">وإننا، وأمام تصاعد من تهديد حق النساء والفتيات من </w:t>
      </w:r>
      <w:proofErr w:type="spellStart"/>
      <w:r>
        <w:rPr>
          <w:sz w:val="24"/>
          <w:szCs w:val="24"/>
          <w:rtl/>
        </w:rPr>
        <w:t>موقعيات</w:t>
      </w:r>
      <w:proofErr w:type="spellEnd"/>
      <w:r>
        <w:rPr>
          <w:sz w:val="24"/>
          <w:szCs w:val="24"/>
          <w:rtl/>
        </w:rPr>
        <w:t xml:space="preserve"> مختلفة لحق النفاذ للعدالة وخاصةً العدالة الجندرية على أسس حقوقية </w:t>
      </w:r>
      <w:proofErr w:type="gramStart"/>
      <w:r>
        <w:rPr>
          <w:sz w:val="24"/>
          <w:szCs w:val="24"/>
          <w:rtl/>
        </w:rPr>
        <w:t>ومواطنية</w:t>
      </w:r>
      <w:proofErr w:type="gramEnd"/>
      <w:r>
        <w:rPr>
          <w:sz w:val="24"/>
          <w:szCs w:val="24"/>
          <w:rtl/>
        </w:rPr>
        <w:t xml:space="preserve"> عادلة، نُكثف أولويات وضرورات التدخل في </w:t>
      </w:r>
      <w:proofErr w:type="spellStart"/>
      <w:r>
        <w:rPr>
          <w:sz w:val="24"/>
          <w:szCs w:val="24"/>
          <w:rtl/>
        </w:rPr>
        <w:t>الاستخلاصات</w:t>
      </w:r>
      <w:proofErr w:type="spellEnd"/>
      <w:r>
        <w:rPr>
          <w:sz w:val="24"/>
          <w:szCs w:val="24"/>
          <w:rtl/>
        </w:rPr>
        <w:t xml:space="preserve"> والتوصيات التالية:</w:t>
      </w:r>
    </w:p>
    <w:p w14:paraId="7D71CD31" w14:textId="77777777" w:rsidR="0053481E" w:rsidRDefault="0053481E">
      <w:pPr>
        <w:bidi/>
        <w:spacing w:line="259" w:lineRule="auto"/>
        <w:jc w:val="both"/>
        <w:rPr>
          <w:sz w:val="24"/>
          <w:szCs w:val="24"/>
        </w:rPr>
      </w:pPr>
    </w:p>
    <w:p w14:paraId="11D9C5C4" w14:textId="77777777" w:rsidR="0053481E" w:rsidRDefault="00000000">
      <w:pPr>
        <w:numPr>
          <w:ilvl w:val="0"/>
          <w:numId w:val="1"/>
        </w:numPr>
        <w:bidi/>
        <w:spacing w:line="259" w:lineRule="auto"/>
        <w:jc w:val="both"/>
        <w:rPr>
          <w:sz w:val="24"/>
          <w:szCs w:val="24"/>
        </w:rPr>
      </w:pPr>
      <w:r>
        <w:rPr>
          <w:sz w:val="24"/>
          <w:szCs w:val="24"/>
          <w:rtl/>
        </w:rPr>
        <w:t xml:space="preserve">وضع ضمانات ومعايير جادة للحوار المجتمعي المؤثر والفاعل بين مكونات الحركة النسوية ومؤسسات الدولة حول قضايا الحماية التشريعية والسياسات العامة المتعلقة بالحماية من العنف ضد النساء والفتيات في المجال العام والخاص. </w:t>
      </w:r>
    </w:p>
    <w:p w14:paraId="6A84B882" w14:textId="77777777" w:rsidR="0053481E" w:rsidRDefault="00000000">
      <w:pPr>
        <w:numPr>
          <w:ilvl w:val="0"/>
          <w:numId w:val="1"/>
        </w:numPr>
        <w:bidi/>
        <w:spacing w:line="259" w:lineRule="auto"/>
        <w:jc w:val="both"/>
        <w:rPr>
          <w:sz w:val="24"/>
          <w:szCs w:val="24"/>
        </w:rPr>
      </w:pPr>
      <w:r>
        <w:rPr>
          <w:sz w:val="24"/>
          <w:szCs w:val="24"/>
          <w:rtl/>
        </w:rPr>
        <w:t xml:space="preserve">التوقف على تكرار هندسة تشكيل السلطة التشريعية، والتأكيد على حق استقلالها، وتفعيل حرية التنظيم المستقل لتشكيلات المدنية والمختلفة المستقلة بما يتيح مجال من الثقة والتعاون المجدي لإحداث تغيير في مسار النفاد العادل للعدالة والعدالة الجندرية. </w:t>
      </w:r>
    </w:p>
    <w:p w14:paraId="00A737EF" w14:textId="77777777" w:rsidR="0053481E" w:rsidRDefault="00000000">
      <w:pPr>
        <w:numPr>
          <w:ilvl w:val="0"/>
          <w:numId w:val="1"/>
        </w:numPr>
        <w:bidi/>
        <w:spacing w:line="259" w:lineRule="auto"/>
        <w:jc w:val="both"/>
        <w:rPr>
          <w:sz w:val="24"/>
          <w:szCs w:val="24"/>
        </w:rPr>
      </w:pPr>
      <w:r>
        <w:rPr>
          <w:sz w:val="24"/>
          <w:szCs w:val="24"/>
          <w:rtl/>
        </w:rPr>
        <w:t>تطوير التدخلات التشريعية والسياسات العامة المتعلقة مواجهة حالات الطوارئ بما يتناسب مع تنامي العسكرة والنزاع المسلح في دول المنطقة.</w:t>
      </w:r>
    </w:p>
    <w:p w14:paraId="2A198419" w14:textId="77777777" w:rsidR="0053481E" w:rsidRDefault="00000000">
      <w:pPr>
        <w:numPr>
          <w:ilvl w:val="0"/>
          <w:numId w:val="1"/>
        </w:numPr>
        <w:bidi/>
        <w:spacing w:line="259" w:lineRule="auto"/>
        <w:jc w:val="both"/>
        <w:rPr>
          <w:sz w:val="24"/>
          <w:szCs w:val="24"/>
        </w:rPr>
      </w:pPr>
      <w:r>
        <w:rPr>
          <w:sz w:val="24"/>
          <w:szCs w:val="24"/>
          <w:rtl/>
        </w:rPr>
        <w:t xml:space="preserve">إنهاء الاستعمار مع الضغط لفرض وقف إطلاق نار دائم وضمان حماية جميع السكان الأصليين رجالاً ونساءً وأطفالاً. </w:t>
      </w:r>
    </w:p>
    <w:p w14:paraId="2FED765F" w14:textId="77777777" w:rsidR="0053481E" w:rsidRDefault="00000000">
      <w:pPr>
        <w:numPr>
          <w:ilvl w:val="0"/>
          <w:numId w:val="1"/>
        </w:numPr>
        <w:bidi/>
        <w:spacing w:line="259" w:lineRule="auto"/>
        <w:jc w:val="both"/>
        <w:rPr>
          <w:sz w:val="24"/>
          <w:szCs w:val="24"/>
        </w:rPr>
      </w:pPr>
      <w:r>
        <w:rPr>
          <w:sz w:val="24"/>
          <w:szCs w:val="24"/>
          <w:rtl/>
        </w:rPr>
        <w:lastRenderedPageBreak/>
        <w:t>الاعتراف بالعنف الموجه ضد النساء بوصفها جريمة حرب وجرائم ضد الإنسانية.</w:t>
      </w:r>
    </w:p>
    <w:sectPr w:rsidR="0053481E">
      <w:headerReference w:type="even" r:id="rId8"/>
      <w:headerReference w:type="default" r:id="rId9"/>
      <w:footerReference w:type="even" r:id="rId10"/>
      <w:footerReference w:type="default" r:id="rId11"/>
      <w:headerReference w:type="first" r:id="rId12"/>
      <w:pgSz w:w="12240" w:h="15840"/>
      <w:pgMar w:top="1728" w:right="1296" w:bottom="1728"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5E10" w14:textId="77777777" w:rsidR="00C941C2" w:rsidRDefault="00C941C2">
      <w:r>
        <w:separator/>
      </w:r>
    </w:p>
  </w:endnote>
  <w:endnote w:type="continuationSeparator" w:id="0">
    <w:p w14:paraId="3D971654" w14:textId="77777777" w:rsidR="00C941C2" w:rsidRDefault="00C9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F0B6" w14:textId="77777777" w:rsidR="0053481E" w:rsidRDefault="00000000">
    <w:pPr>
      <w:pBdr>
        <w:top w:val="nil"/>
        <w:left w:val="nil"/>
        <w:bottom w:val="nil"/>
        <w:right w:val="nil"/>
        <w:between w:val="nil"/>
      </w:pBdr>
      <w:tabs>
        <w:tab w:val="center" w:pos="4680"/>
        <w:tab w:val="right" w:pos="9360"/>
      </w:tabs>
      <w:rPr>
        <w:b/>
        <w:color w:val="000000"/>
        <w:sz w:val="16"/>
        <w:szCs w:val="16"/>
      </w:rPr>
    </w:pPr>
    <w:r>
      <w:rPr>
        <w:b/>
        <w:color w:val="000000"/>
        <w:sz w:val="16"/>
        <w:szCs w:val="16"/>
      </w:rPr>
      <w:fldChar w:fldCharType="begin"/>
    </w:r>
    <w:r>
      <w:rPr>
        <w:b/>
        <w:color w:val="000000"/>
        <w:sz w:val="16"/>
        <w:szCs w:val="16"/>
      </w:rPr>
      <w:instrText>PAGE</w:instrText>
    </w:r>
    <w:r>
      <w:rPr>
        <w:b/>
        <w:color w:val="000000"/>
        <w:sz w:val="16"/>
        <w:szCs w:val="16"/>
      </w:rPr>
      <w:fldChar w:fldCharType="separate"/>
    </w:r>
    <w:r w:rsidR="00F93224">
      <w:rPr>
        <w:b/>
        <w:noProof/>
        <w:color w:val="000000"/>
        <w:sz w:val="16"/>
        <w:szCs w:val="16"/>
      </w:rPr>
      <w:t>2</w:t>
    </w:r>
    <w:r>
      <w:rPr>
        <w:b/>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5481" w14:textId="2063383C" w:rsidR="0053481E" w:rsidRDefault="00000000">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F93224">
      <w:rPr>
        <w:noProof/>
        <w:color w:val="000000"/>
        <w:sz w:val="16"/>
        <w:szCs w:val="16"/>
      </w:rPr>
      <w:t>3</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8472" w14:textId="77777777" w:rsidR="00C941C2" w:rsidRDefault="00C941C2">
      <w:r>
        <w:separator/>
      </w:r>
    </w:p>
  </w:footnote>
  <w:footnote w:type="continuationSeparator" w:id="0">
    <w:p w14:paraId="6A66012B" w14:textId="77777777" w:rsidR="00C941C2" w:rsidRDefault="00C94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680A" w14:textId="77777777" w:rsidR="0053481E" w:rsidRDefault="0053481E">
    <w:pPr>
      <w:widowControl w:val="0"/>
      <w:pBdr>
        <w:top w:val="nil"/>
        <w:left w:val="nil"/>
        <w:bottom w:val="nil"/>
        <w:right w:val="nil"/>
        <w:between w:val="nil"/>
      </w:pBdr>
      <w:spacing w:line="276" w:lineRule="auto"/>
      <w:rPr>
        <w:color w:val="000000"/>
        <w:sz w:val="24"/>
        <w:szCs w:val="24"/>
      </w:rPr>
    </w:pPr>
  </w:p>
  <w:tbl>
    <w:tblPr>
      <w:tblStyle w:val="a"/>
      <w:tblW w:w="9871" w:type="dxa"/>
      <w:tblBorders>
        <w:bottom w:val="single" w:sz="4" w:space="0" w:color="000000"/>
      </w:tblBorders>
      <w:tblLayout w:type="fixed"/>
      <w:tblLook w:val="0000" w:firstRow="0" w:lastRow="0" w:firstColumn="0" w:lastColumn="0" w:noHBand="0" w:noVBand="0"/>
    </w:tblPr>
    <w:tblGrid>
      <w:gridCol w:w="4838"/>
      <w:gridCol w:w="5033"/>
    </w:tblGrid>
    <w:tr w:rsidR="0053481E" w14:paraId="4DB959AA" w14:textId="77777777">
      <w:trPr>
        <w:trHeight w:val="864"/>
      </w:trPr>
      <w:tc>
        <w:tcPr>
          <w:tcW w:w="4838" w:type="dxa"/>
          <w:vAlign w:val="bottom"/>
        </w:tcPr>
        <w:p w14:paraId="0EF30A53" w14:textId="77777777" w:rsidR="0053481E" w:rsidRDefault="00000000">
          <w:pPr>
            <w:pBdr>
              <w:top w:val="nil"/>
              <w:left w:val="nil"/>
              <w:bottom w:val="nil"/>
              <w:right w:val="nil"/>
              <w:between w:val="nil"/>
            </w:pBdr>
            <w:tabs>
              <w:tab w:val="center" w:pos="4680"/>
              <w:tab w:val="right" w:pos="9360"/>
            </w:tabs>
            <w:spacing w:after="80"/>
            <w:rPr>
              <w:b/>
              <w:color w:val="000000"/>
              <w:sz w:val="16"/>
              <w:szCs w:val="16"/>
            </w:rPr>
          </w:pPr>
          <w:r>
            <w:rPr>
              <w:b/>
              <w:color w:val="000000"/>
              <w:sz w:val="16"/>
              <w:szCs w:val="16"/>
            </w:rPr>
            <w:t>E/CN.6/2026/NGO/XX</w:t>
          </w:r>
        </w:p>
      </w:tc>
      <w:tc>
        <w:tcPr>
          <w:tcW w:w="5033" w:type="dxa"/>
          <w:vAlign w:val="bottom"/>
        </w:tcPr>
        <w:p w14:paraId="1CDFB898" w14:textId="77777777" w:rsidR="0053481E" w:rsidRDefault="0053481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tc>
    </w:tr>
  </w:tbl>
  <w:p w14:paraId="5AB19C4F" w14:textId="77777777" w:rsidR="0053481E" w:rsidRDefault="0053481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0BEF" w14:textId="77777777" w:rsidR="0053481E" w:rsidRDefault="0053481E">
    <w:pPr>
      <w:widowControl w:val="0"/>
      <w:pBdr>
        <w:top w:val="nil"/>
        <w:left w:val="nil"/>
        <w:bottom w:val="nil"/>
        <w:right w:val="nil"/>
        <w:between w:val="nil"/>
      </w:pBdr>
      <w:spacing w:line="276" w:lineRule="auto"/>
      <w:rPr>
        <w:rFonts w:ascii="Calibri" w:eastAsia="Calibri" w:hAnsi="Calibri" w:cs="Calibri"/>
        <w:color w:val="000000"/>
        <w:sz w:val="22"/>
        <w:szCs w:val="22"/>
      </w:rPr>
    </w:pPr>
  </w:p>
  <w:tbl>
    <w:tblPr>
      <w:tblStyle w:val="a0"/>
      <w:tblW w:w="9871" w:type="dxa"/>
      <w:tblBorders>
        <w:bottom w:val="single" w:sz="4" w:space="0" w:color="000000"/>
      </w:tblBorders>
      <w:tblLayout w:type="fixed"/>
      <w:tblLook w:val="0000" w:firstRow="0" w:lastRow="0" w:firstColumn="0" w:lastColumn="0" w:noHBand="0" w:noVBand="0"/>
    </w:tblPr>
    <w:tblGrid>
      <w:gridCol w:w="4838"/>
      <w:gridCol w:w="5033"/>
    </w:tblGrid>
    <w:tr w:rsidR="0053481E" w14:paraId="4966F3E2" w14:textId="77777777">
      <w:trPr>
        <w:trHeight w:val="864"/>
      </w:trPr>
      <w:tc>
        <w:tcPr>
          <w:tcW w:w="4838" w:type="dxa"/>
          <w:vAlign w:val="bottom"/>
        </w:tcPr>
        <w:p w14:paraId="6C94AD68" w14:textId="77777777" w:rsidR="0053481E" w:rsidRDefault="0053481E">
          <w:pPr>
            <w:pBdr>
              <w:top w:val="nil"/>
              <w:left w:val="nil"/>
              <w:bottom w:val="nil"/>
              <w:right w:val="nil"/>
              <w:between w:val="nil"/>
            </w:pBdr>
            <w:tabs>
              <w:tab w:val="center" w:pos="4680"/>
              <w:tab w:val="right" w:pos="9360"/>
            </w:tabs>
            <w:rPr>
              <w:color w:val="000000"/>
              <w:sz w:val="16"/>
              <w:szCs w:val="16"/>
            </w:rPr>
          </w:pPr>
        </w:p>
      </w:tc>
      <w:tc>
        <w:tcPr>
          <w:tcW w:w="5033" w:type="dxa"/>
          <w:vAlign w:val="bottom"/>
        </w:tcPr>
        <w:p w14:paraId="1ECD69F7" w14:textId="77777777" w:rsidR="0053481E" w:rsidRDefault="00000000">
          <w:pPr>
            <w:pBdr>
              <w:top w:val="nil"/>
              <w:left w:val="nil"/>
              <w:bottom w:val="nil"/>
              <w:right w:val="nil"/>
              <w:between w:val="nil"/>
            </w:pBdr>
            <w:tabs>
              <w:tab w:val="center" w:pos="4680"/>
              <w:tab w:val="right" w:pos="9360"/>
            </w:tabs>
            <w:spacing w:after="80"/>
            <w:jc w:val="right"/>
            <w:rPr>
              <w:b/>
              <w:color w:val="000000"/>
              <w:sz w:val="16"/>
              <w:szCs w:val="16"/>
            </w:rPr>
          </w:pPr>
          <w:r>
            <w:rPr>
              <w:b/>
              <w:color w:val="000000"/>
              <w:sz w:val="16"/>
              <w:szCs w:val="16"/>
            </w:rPr>
            <w:t>E/CN.6/2026/NGO/XX</w:t>
          </w:r>
        </w:p>
      </w:tc>
    </w:tr>
  </w:tbl>
  <w:p w14:paraId="0DA70610" w14:textId="77777777" w:rsidR="0053481E" w:rsidRDefault="0053481E">
    <w:pPr>
      <w:pBdr>
        <w:top w:val="nil"/>
        <w:left w:val="nil"/>
        <w:bottom w:val="nil"/>
        <w:right w:val="nil"/>
        <w:between w:val="nil"/>
      </w:pBdr>
      <w:tabs>
        <w:tab w:val="center" w:pos="4680"/>
        <w:tab w:val="right" w:pos="9360"/>
      </w:tabs>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0C74" w14:textId="77777777" w:rsidR="0053481E" w:rsidRDefault="0053481E">
    <w:pPr>
      <w:widowControl w:val="0"/>
      <w:pBdr>
        <w:top w:val="nil"/>
        <w:left w:val="nil"/>
        <w:bottom w:val="nil"/>
        <w:right w:val="nil"/>
        <w:between w:val="nil"/>
      </w:pBdr>
      <w:spacing w:line="276" w:lineRule="auto"/>
      <w:rPr>
        <w:color w:val="000000"/>
        <w:sz w:val="16"/>
        <w:szCs w:val="16"/>
      </w:rPr>
    </w:pPr>
  </w:p>
  <w:tbl>
    <w:tblPr>
      <w:tblStyle w:val="a1"/>
      <w:tblW w:w="9907" w:type="dxa"/>
      <w:tblLayout w:type="fixed"/>
      <w:tblLook w:val="0000" w:firstRow="0" w:lastRow="0" w:firstColumn="0" w:lastColumn="0" w:noHBand="0" w:noVBand="0"/>
    </w:tblPr>
    <w:tblGrid>
      <w:gridCol w:w="1267"/>
      <w:gridCol w:w="1872"/>
      <w:gridCol w:w="245"/>
      <w:gridCol w:w="3110"/>
      <w:gridCol w:w="245"/>
      <w:gridCol w:w="3140"/>
      <w:gridCol w:w="28"/>
    </w:tblGrid>
    <w:tr w:rsidR="0053481E" w14:paraId="09F2401C" w14:textId="77777777">
      <w:trPr>
        <w:trHeight w:val="864"/>
      </w:trPr>
      <w:tc>
        <w:tcPr>
          <w:tcW w:w="1267" w:type="dxa"/>
          <w:tcBorders>
            <w:bottom w:val="single" w:sz="4" w:space="0" w:color="000000"/>
          </w:tcBorders>
          <w:vAlign w:val="bottom"/>
        </w:tcPr>
        <w:p w14:paraId="6DA0A1DE" w14:textId="77777777" w:rsidR="0053481E" w:rsidRDefault="0053481E">
          <w:pPr>
            <w:tabs>
              <w:tab w:val="center" w:pos="4320"/>
              <w:tab w:val="right" w:pos="8640"/>
            </w:tabs>
            <w:spacing w:after="120"/>
            <w:rPr>
              <w:sz w:val="17"/>
              <w:szCs w:val="17"/>
            </w:rPr>
          </w:pPr>
        </w:p>
      </w:tc>
      <w:tc>
        <w:tcPr>
          <w:tcW w:w="1872" w:type="dxa"/>
          <w:tcBorders>
            <w:bottom w:val="single" w:sz="4" w:space="0" w:color="000000"/>
          </w:tcBorders>
          <w:vAlign w:val="bottom"/>
        </w:tcPr>
        <w:p w14:paraId="466EB8C9" w14:textId="77777777" w:rsidR="0053481E" w:rsidRDefault="00000000">
          <w:pPr>
            <w:keepNext/>
            <w:keepLines/>
            <w:spacing w:after="80" w:line="300" w:lineRule="auto"/>
            <w:rPr>
              <w:sz w:val="28"/>
              <w:szCs w:val="28"/>
            </w:rPr>
          </w:pPr>
          <w:r>
            <w:rPr>
              <w:sz w:val="28"/>
              <w:szCs w:val="28"/>
            </w:rPr>
            <w:t>United Nations</w:t>
          </w:r>
        </w:p>
      </w:tc>
      <w:tc>
        <w:tcPr>
          <w:tcW w:w="245" w:type="dxa"/>
          <w:tcBorders>
            <w:bottom w:val="single" w:sz="4" w:space="0" w:color="000000"/>
          </w:tcBorders>
          <w:vAlign w:val="bottom"/>
        </w:tcPr>
        <w:p w14:paraId="20B3C9AB" w14:textId="77777777" w:rsidR="0053481E" w:rsidRDefault="0053481E">
          <w:pPr>
            <w:tabs>
              <w:tab w:val="center" w:pos="4320"/>
              <w:tab w:val="right" w:pos="8640"/>
            </w:tabs>
            <w:spacing w:after="120"/>
            <w:rPr>
              <w:sz w:val="17"/>
              <w:szCs w:val="17"/>
            </w:rPr>
          </w:pPr>
        </w:p>
      </w:tc>
      <w:tc>
        <w:tcPr>
          <w:tcW w:w="6523" w:type="dxa"/>
          <w:gridSpan w:val="4"/>
          <w:tcBorders>
            <w:bottom w:val="single" w:sz="4" w:space="0" w:color="000000"/>
          </w:tcBorders>
          <w:vAlign w:val="bottom"/>
        </w:tcPr>
        <w:p w14:paraId="2C4C6603" w14:textId="77777777" w:rsidR="0053481E" w:rsidRDefault="00000000">
          <w:pPr>
            <w:spacing w:after="80"/>
            <w:jc w:val="right"/>
          </w:pPr>
          <w:r>
            <w:rPr>
              <w:sz w:val="40"/>
              <w:szCs w:val="40"/>
            </w:rPr>
            <w:t>E</w:t>
          </w:r>
          <w:r>
            <w:t>/CN.6/2026/NGO/XX</w:t>
          </w:r>
        </w:p>
      </w:tc>
    </w:tr>
    <w:tr w:rsidR="0053481E" w14:paraId="62CC18B0" w14:textId="77777777">
      <w:trPr>
        <w:gridAfter w:val="1"/>
        <w:wAfter w:w="28" w:type="dxa"/>
        <w:trHeight w:val="2880"/>
      </w:trPr>
      <w:tc>
        <w:tcPr>
          <w:tcW w:w="1267" w:type="dxa"/>
          <w:tcBorders>
            <w:top w:val="single" w:sz="4" w:space="0" w:color="000000"/>
            <w:bottom w:val="single" w:sz="12" w:space="0" w:color="000000"/>
          </w:tcBorders>
        </w:tcPr>
        <w:p w14:paraId="2D921C6F" w14:textId="77777777" w:rsidR="0053481E" w:rsidRDefault="00000000">
          <w:pPr>
            <w:tabs>
              <w:tab w:val="center" w:pos="4320"/>
              <w:tab w:val="right" w:pos="8640"/>
            </w:tabs>
            <w:spacing w:before="109"/>
            <w:rPr>
              <w:sz w:val="17"/>
              <w:szCs w:val="17"/>
            </w:rPr>
          </w:pPr>
          <w:r>
            <w:rPr>
              <w:sz w:val="17"/>
              <w:szCs w:val="17"/>
            </w:rPr>
            <w:t xml:space="preserve"> </w:t>
          </w:r>
          <w:r>
            <w:rPr>
              <w:noProof/>
            </w:rPr>
            <w:drawing>
              <wp:inline distT="0" distB="0" distL="0" distR="0" wp14:anchorId="19CF6965" wp14:editId="450B05CF">
                <wp:extent cx="713232" cy="597103"/>
                <wp:effectExtent l="0" t="0" r="0" b="0"/>
                <wp:docPr id="3048187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3232" cy="597103"/>
                        </a:xfrm>
                        <a:prstGeom prst="rect">
                          <a:avLst/>
                        </a:prstGeom>
                        <a:ln/>
                      </pic:spPr>
                    </pic:pic>
                  </a:graphicData>
                </a:graphic>
              </wp:inline>
            </w:drawing>
          </w:r>
        </w:p>
        <w:p w14:paraId="595992E2" w14:textId="77777777" w:rsidR="0053481E" w:rsidRDefault="0053481E">
          <w:pPr>
            <w:tabs>
              <w:tab w:val="center" w:pos="4320"/>
              <w:tab w:val="right" w:pos="8640"/>
            </w:tabs>
            <w:spacing w:before="109"/>
            <w:rPr>
              <w:sz w:val="17"/>
              <w:szCs w:val="17"/>
            </w:rPr>
          </w:pPr>
        </w:p>
      </w:tc>
      <w:tc>
        <w:tcPr>
          <w:tcW w:w="5227" w:type="dxa"/>
          <w:gridSpan w:val="3"/>
          <w:tcBorders>
            <w:top w:val="single" w:sz="4" w:space="0" w:color="000000"/>
            <w:bottom w:val="single" w:sz="12" w:space="0" w:color="000000"/>
          </w:tcBorders>
        </w:tcPr>
        <w:p w14:paraId="5C64C9A8" w14:textId="77777777" w:rsidR="0053481E" w:rsidRDefault="0000000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109" w:line="390" w:lineRule="auto"/>
            <w:rPr>
              <w:b/>
              <w:sz w:val="40"/>
              <w:szCs w:val="40"/>
            </w:rPr>
          </w:pPr>
          <w:r>
            <w:rPr>
              <w:b/>
              <w:sz w:val="40"/>
              <w:szCs w:val="40"/>
            </w:rPr>
            <w:t>Economic and Social Council</w:t>
          </w:r>
        </w:p>
      </w:tc>
      <w:tc>
        <w:tcPr>
          <w:tcW w:w="245" w:type="dxa"/>
          <w:tcBorders>
            <w:top w:val="single" w:sz="4" w:space="0" w:color="000000"/>
            <w:bottom w:val="single" w:sz="12" w:space="0" w:color="000000"/>
          </w:tcBorders>
        </w:tcPr>
        <w:p w14:paraId="21991EE7" w14:textId="77777777" w:rsidR="0053481E" w:rsidRDefault="0053481E">
          <w:pPr>
            <w:tabs>
              <w:tab w:val="center" w:pos="4320"/>
              <w:tab w:val="right" w:pos="8640"/>
            </w:tabs>
            <w:spacing w:before="109"/>
            <w:rPr>
              <w:sz w:val="17"/>
              <w:szCs w:val="17"/>
            </w:rPr>
          </w:pPr>
        </w:p>
      </w:tc>
      <w:tc>
        <w:tcPr>
          <w:tcW w:w="3140" w:type="dxa"/>
          <w:tcBorders>
            <w:top w:val="single" w:sz="4" w:space="0" w:color="000000"/>
            <w:bottom w:val="single" w:sz="12" w:space="0" w:color="000000"/>
          </w:tcBorders>
        </w:tcPr>
        <w:p w14:paraId="0A435AD7" w14:textId="77777777" w:rsidR="0053481E" w:rsidRDefault="00000000">
          <w:pPr>
            <w:spacing w:before="240"/>
          </w:pPr>
          <w:r>
            <w:t>Distr.: General</w:t>
          </w:r>
        </w:p>
        <w:p w14:paraId="55009231" w14:textId="77777777" w:rsidR="0053481E" w:rsidRDefault="00000000">
          <w:r>
            <w:t>December 2025</w:t>
          </w:r>
        </w:p>
        <w:p w14:paraId="11F54276" w14:textId="77777777" w:rsidR="0053481E" w:rsidRDefault="0053481E"/>
        <w:p w14:paraId="0903687C" w14:textId="77777777" w:rsidR="0053481E" w:rsidRDefault="00000000">
          <w:r>
            <w:t>Original: Language</w:t>
          </w:r>
        </w:p>
      </w:tc>
    </w:tr>
  </w:tbl>
  <w:p w14:paraId="4ADC0841" w14:textId="77777777" w:rsidR="0053481E" w:rsidRDefault="0053481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520EB"/>
    <w:multiLevelType w:val="multilevel"/>
    <w:tmpl w:val="4232099E"/>
    <w:lvl w:ilvl="0">
      <w:start w:val="14"/>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32972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1E"/>
    <w:rsid w:val="0053481E"/>
    <w:rsid w:val="00744BD0"/>
    <w:rsid w:val="00A85E49"/>
    <w:rsid w:val="00C918D2"/>
    <w:rsid w:val="00C941C2"/>
    <w:rsid w:val="00DD312C"/>
    <w:rsid w:val="00F22226"/>
    <w:rsid w:val="00F93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3D1D"/>
  <w15:docId w15:val="{1471F216-21D9-4231-8C5A-807BC7E2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917475"/>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17475"/>
  </w:style>
  <w:style w:type="paragraph" w:styleId="Footer">
    <w:name w:val="footer"/>
    <w:basedOn w:val="Normal"/>
    <w:link w:val="FooterChar"/>
    <w:uiPriority w:val="99"/>
    <w:unhideWhenUsed/>
    <w:rsid w:val="00917475"/>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17475"/>
  </w:style>
  <w:style w:type="paragraph" w:customStyle="1" w:styleId="H1">
    <w:name w:val="_ H_1"/>
    <w:basedOn w:val="Normal"/>
    <w:next w:val="SingleTxt"/>
    <w:rsid w:val="0091747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917475"/>
    <w:pPr>
      <w:spacing w:line="300" w:lineRule="exact"/>
      <w:ind w:left="0" w:right="0" w:firstLine="0"/>
    </w:pPr>
    <w:rPr>
      <w:spacing w:val="-2"/>
      <w:sz w:val="28"/>
    </w:rPr>
  </w:style>
  <w:style w:type="paragraph" w:customStyle="1" w:styleId="H23">
    <w:name w:val="_ H_2/3"/>
    <w:basedOn w:val="H1"/>
    <w:next w:val="SingleTxt"/>
    <w:rsid w:val="00917475"/>
    <w:pPr>
      <w:spacing w:line="240" w:lineRule="exact"/>
      <w:outlineLvl w:val="1"/>
    </w:pPr>
    <w:rPr>
      <w:spacing w:val="2"/>
      <w:sz w:val="20"/>
    </w:rPr>
  </w:style>
  <w:style w:type="paragraph" w:customStyle="1" w:styleId="SingleTxt">
    <w:name w:val="__Single Txt"/>
    <w:basedOn w:val="Normal"/>
    <w:rsid w:val="0091747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character" w:styleId="FootnoteReference">
    <w:name w:val="footnote reference"/>
    <w:semiHidden/>
    <w:rsid w:val="00917475"/>
    <w:rPr>
      <w:spacing w:val="-5"/>
      <w:w w:val="130"/>
      <w:position w:val="-4"/>
      <w:vertAlign w:val="superscript"/>
    </w:rPr>
  </w:style>
  <w:style w:type="paragraph" w:styleId="FootnoteText">
    <w:name w:val="footnote text"/>
    <w:basedOn w:val="Normal"/>
    <w:link w:val="FootnoteTextChar"/>
    <w:semiHidden/>
    <w:rsid w:val="00917475"/>
    <w:pPr>
      <w:widowControl w:val="0"/>
      <w:tabs>
        <w:tab w:val="right" w:pos="418"/>
      </w:tabs>
      <w:spacing w:line="210" w:lineRule="exact"/>
      <w:ind w:left="475" w:hanging="475"/>
    </w:pPr>
    <w:rPr>
      <w:spacing w:val="5"/>
      <w:w w:val="104"/>
      <w:sz w:val="17"/>
    </w:rPr>
  </w:style>
  <w:style w:type="character" w:customStyle="1" w:styleId="FootnoteTextChar">
    <w:name w:val="Footnote Text Char"/>
    <w:basedOn w:val="DefaultParagraphFont"/>
    <w:link w:val="FootnoteText"/>
    <w:semiHidden/>
    <w:rsid w:val="00917475"/>
    <w:rPr>
      <w:rFonts w:ascii="Times New Roman" w:eastAsia="Times New Roman" w:hAnsi="Times New Roman" w:cs="Times New Roman"/>
      <w:spacing w:val="5"/>
      <w:w w:val="104"/>
      <w:kern w:val="14"/>
      <w:sz w:val="17"/>
      <w:szCs w:val="20"/>
      <w:lang w:val="en-GB"/>
    </w:rPr>
  </w:style>
  <w:style w:type="paragraph" w:customStyle="1" w:styleId="Style-StatementHeading">
    <w:name w:val="Style-StatementHeading"/>
    <w:basedOn w:val="Normal"/>
    <w:link w:val="Style-StatementHeadingChar"/>
    <w:qFormat/>
    <w:rsid w:val="0081103C"/>
    <w:pPr>
      <w:spacing w:before="600" w:after="600"/>
      <w:contextualSpacing/>
    </w:pPr>
    <w:rPr>
      <w:b/>
      <w:sz w:val="24"/>
    </w:rPr>
  </w:style>
  <w:style w:type="paragraph" w:customStyle="1" w:styleId="Style-Title">
    <w:name w:val="Style-Title"/>
    <w:basedOn w:val="Normal"/>
    <w:link w:val="Style-TitleChar"/>
    <w:qFormat/>
    <w:rsid w:val="0081103C"/>
    <w:pPr>
      <w:spacing w:before="120" w:after="360"/>
    </w:pPr>
    <w:rPr>
      <w:b/>
      <w:bCs/>
      <w:sz w:val="24"/>
      <w:szCs w:val="24"/>
    </w:rPr>
  </w:style>
  <w:style w:type="character" w:customStyle="1" w:styleId="Style-StatementHeadingChar">
    <w:name w:val="Style-StatementHeading Char"/>
    <w:basedOn w:val="DefaultParagraphFont"/>
    <w:link w:val="Style-StatementHeading"/>
    <w:rsid w:val="0081103C"/>
    <w:rPr>
      <w:rFonts w:ascii="Times New Roman" w:eastAsia="Times New Roman" w:hAnsi="Times New Roman" w:cs="Times New Roman"/>
      <w:b/>
      <w:spacing w:val="4"/>
      <w:w w:val="103"/>
      <w:kern w:val="14"/>
      <w:sz w:val="24"/>
      <w:szCs w:val="20"/>
      <w:lang w:val="en-GB"/>
    </w:rPr>
  </w:style>
  <w:style w:type="paragraph" w:customStyle="1" w:styleId="Style-StatementText">
    <w:name w:val="Style-StatementText"/>
    <w:basedOn w:val="Normal"/>
    <w:link w:val="Style-StatementTextChar"/>
    <w:qFormat/>
    <w:rsid w:val="0081103C"/>
    <w:pPr>
      <w:spacing w:line="480" w:lineRule="auto"/>
      <w:ind w:firstLine="720"/>
    </w:pPr>
    <w:rPr>
      <w:sz w:val="24"/>
    </w:rPr>
  </w:style>
  <w:style w:type="character" w:customStyle="1" w:styleId="Style-TitleChar">
    <w:name w:val="Style-Title Char"/>
    <w:basedOn w:val="DefaultParagraphFont"/>
    <w:link w:val="Style-Title"/>
    <w:rsid w:val="0081103C"/>
    <w:rPr>
      <w:rFonts w:ascii="Times New Roman" w:eastAsia="Times New Roman" w:hAnsi="Times New Roman" w:cs="Times New Roman"/>
      <w:b/>
      <w:bCs/>
      <w:spacing w:val="4"/>
      <w:w w:val="103"/>
      <w:kern w:val="14"/>
      <w:sz w:val="24"/>
      <w:szCs w:val="24"/>
      <w:lang w:val="en-GB"/>
    </w:rPr>
  </w:style>
  <w:style w:type="character" w:customStyle="1" w:styleId="Style-StatementTextChar">
    <w:name w:val="Style-StatementText Char"/>
    <w:basedOn w:val="DefaultParagraphFont"/>
    <w:link w:val="Style-StatementText"/>
    <w:rsid w:val="0081103C"/>
    <w:rPr>
      <w:rFonts w:ascii="Times New Roman" w:eastAsia="Times New Roman" w:hAnsi="Times New Roman" w:cs="Times New Roman"/>
      <w:spacing w:val="4"/>
      <w:w w:val="103"/>
      <w:kern w:val="14"/>
      <w:sz w:val="24"/>
      <w:szCs w:val="20"/>
      <w:lang w:val="en-GB"/>
    </w:rPr>
  </w:style>
  <w:style w:type="character" w:styleId="CommentReference">
    <w:name w:val="annotation reference"/>
    <w:basedOn w:val="DefaultParagraphFont"/>
    <w:uiPriority w:val="99"/>
    <w:semiHidden/>
    <w:unhideWhenUsed/>
    <w:rsid w:val="00045616"/>
    <w:rPr>
      <w:sz w:val="16"/>
      <w:szCs w:val="16"/>
    </w:rPr>
  </w:style>
  <w:style w:type="paragraph" w:styleId="CommentText">
    <w:name w:val="annotation text"/>
    <w:basedOn w:val="Normal"/>
    <w:link w:val="CommentTextChar"/>
    <w:uiPriority w:val="99"/>
    <w:semiHidden/>
    <w:unhideWhenUsed/>
    <w:rsid w:val="00045616"/>
  </w:style>
  <w:style w:type="character" w:customStyle="1" w:styleId="CommentTextChar">
    <w:name w:val="Comment Text Char"/>
    <w:basedOn w:val="DefaultParagraphFont"/>
    <w:link w:val="CommentText"/>
    <w:uiPriority w:val="99"/>
    <w:semiHidden/>
    <w:rsid w:val="00045616"/>
    <w:rPr>
      <w:rFonts w:ascii="Times New Roman" w:eastAsia="Times New Roman" w:hAnsi="Times New Roman" w:cs="Times New Roman"/>
      <w:spacing w:val="4"/>
      <w:w w:val="103"/>
      <w:kern w:val="14"/>
      <w:sz w:val="20"/>
      <w:szCs w:val="20"/>
      <w:lang w:val="en-GB"/>
    </w:rPr>
  </w:style>
  <w:style w:type="paragraph" w:styleId="CommentSubject">
    <w:name w:val="annotation subject"/>
    <w:basedOn w:val="CommentText"/>
    <w:next w:val="CommentText"/>
    <w:link w:val="CommentSubjectChar"/>
    <w:uiPriority w:val="99"/>
    <w:semiHidden/>
    <w:unhideWhenUsed/>
    <w:rsid w:val="00045616"/>
    <w:rPr>
      <w:b/>
      <w:bCs/>
    </w:rPr>
  </w:style>
  <w:style w:type="character" w:customStyle="1" w:styleId="CommentSubjectChar">
    <w:name w:val="Comment Subject Char"/>
    <w:basedOn w:val="CommentTextChar"/>
    <w:link w:val="CommentSubject"/>
    <w:uiPriority w:val="99"/>
    <w:semiHidden/>
    <w:rsid w:val="00045616"/>
    <w:rPr>
      <w:rFonts w:ascii="Times New Roman" w:eastAsia="Times New Roman" w:hAnsi="Times New Roman" w:cs="Times New Roman"/>
      <w:b/>
      <w:bCs/>
      <w:spacing w:val="4"/>
      <w:w w:val="103"/>
      <w:kern w:val="14"/>
      <w:sz w:val="20"/>
      <w:szCs w:val="20"/>
      <w:lang w:val="en-GB"/>
    </w:rPr>
  </w:style>
  <w:style w:type="paragraph" w:styleId="BalloonText">
    <w:name w:val="Balloon Text"/>
    <w:basedOn w:val="Normal"/>
    <w:link w:val="BalloonTextChar"/>
    <w:uiPriority w:val="99"/>
    <w:semiHidden/>
    <w:unhideWhenUsed/>
    <w:rsid w:val="00045616"/>
    <w:rPr>
      <w:sz w:val="18"/>
      <w:szCs w:val="18"/>
    </w:rPr>
  </w:style>
  <w:style w:type="character" w:customStyle="1" w:styleId="BalloonTextChar">
    <w:name w:val="Balloon Text Char"/>
    <w:basedOn w:val="DefaultParagraphFont"/>
    <w:link w:val="BalloonText"/>
    <w:uiPriority w:val="99"/>
    <w:semiHidden/>
    <w:rsid w:val="00045616"/>
    <w:rPr>
      <w:rFonts w:ascii="Times New Roman" w:eastAsia="Times New Roman" w:hAnsi="Times New Roman" w:cs="Times New Roman"/>
      <w:spacing w:val="4"/>
      <w:w w:val="103"/>
      <w:kern w:val="14"/>
      <w:sz w:val="18"/>
      <w:szCs w:val="18"/>
      <w:lang w:val="en-GB"/>
    </w:rPr>
  </w:style>
  <w:style w:type="character" w:customStyle="1" w:styleId="UnresolvedMention1">
    <w:name w:val="Unresolved Mention1"/>
    <w:basedOn w:val="DefaultParagraphFont"/>
    <w:uiPriority w:val="99"/>
    <w:unhideWhenUsed/>
    <w:rsid w:val="006E575B"/>
    <w:rPr>
      <w:color w:val="605E5C"/>
      <w:shd w:val="clear" w:color="auto" w:fill="E1DFDD"/>
    </w:rPr>
  </w:style>
  <w:style w:type="character" w:customStyle="1" w:styleId="Mention1">
    <w:name w:val="Mention1"/>
    <w:basedOn w:val="DefaultParagraphFont"/>
    <w:uiPriority w:val="99"/>
    <w:unhideWhenUsed/>
    <w:rsid w:val="006E575B"/>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sMw5/g7kWGhSiQsoJi9aiyOzg==">CgMxLjAyDWguaXI1dmYxZTR4bmI4AHIhMTZmQ0Y0UTJJblBiUWJQTXBrUUN5cGVTRHZwMlJpdlRy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9290</Characters>
  <Application>Microsoft Office Word</Application>
  <DocSecurity>0</DocSecurity>
  <Lines>77</Lines>
  <Paragraphs>21</Paragraphs>
  <ScaleCrop>false</ScaleCrop>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nevine ebied</dc:creator>
  <cp:lastModifiedBy>Nevien Ebied</cp:lastModifiedBy>
  <cp:revision>2</cp:revision>
  <dcterms:created xsi:type="dcterms:W3CDTF">2026-03-08T07:44:00Z</dcterms:created>
  <dcterms:modified xsi:type="dcterms:W3CDTF">2026-03-08T07:44:00Z</dcterms:modified>
</cp:coreProperties>
</file>