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01CC" w14:textId="77777777" w:rsidR="00EF60A5" w:rsidRDefault="00000000">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center" w:pos="4824"/>
        </w:tabs>
        <w:spacing w:line="270" w:lineRule="auto"/>
        <w:rPr>
          <w:b/>
          <w:color w:val="000000"/>
          <w:sz w:val="24"/>
          <w:szCs w:val="24"/>
        </w:rPr>
      </w:pPr>
      <w:r>
        <w:rPr>
          <w:b/>
          <w:color w:val="000000"/>
          <w:sz w:val="24"/>
          <w:szCs w:val="24"/>
        </w:rPr>
        <w:t>Commission on the Status of Women</w:t>
      </w:r>
    </w:p>
    <w:p w14:paraId="3980F6BB" w14:textId="77777777" w:rsidR="00EF60A5" w:rsidRDefault="00000000">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color w:val="000000"/>
        </w:rPr>
      </w:pPr>
      <w:bookmarkStart w:id="0" w:name="_heading=h.tden8mfsekb6" w:colFirst="0" w:colLast="0"/>
      <w:bookmarkEnd w:id="0"/>
      <w:r>
        <w:rPr>
          <w:b/>
          <w:color w:val="000000"/>
        </w:rPr>
        <w:t>Seventieth session</w:t>
      </w:r>
    </w:p>
    <w:p w14:paraId="23863515" w14:textId="77777777" w:rsidR="00EF60A5" w:rsidRDefault="00000000">
      <w:r>
        <w:t>9-20 March 2026</w:t>
      </w:r>
    </w:p>
    <w:p w14:paraId="6EAF359A" w14:textId="77777777" w:rsidR="00EF60A5" w:rsidRDefault="00000000">
      <w:pPr>
        <w:rPr>
          <w:b/>
        </w:rPr>
      </w:pPr>
      <w:r>
        <w:rPr>
          <w:b/>
        </w:rPr>
        <w:t>Follow-up to the Fourth World Conference on Women and</w:t>
      </w:r>
    </w:p>
    <w:p w14:paraId="52A84004" w14:textId="77777777" w:rsidR="00EF60A5" w:rsidRDefault="00000000">
      <w:pPr>
        <w:rPr>
          <w:b/>
        </w:rPr>
      </w:pPr>
      <w:r>
        <w:rPr>
          <w:b/>
        </w:rPr>
        <w:t>to the twenty-third special session of the General Assembly</w:t>
      </w:r>
      <w:r>
        <w:rPr>
          <w:b/>
        </w:rPr>
        <w:br/>
        <w:t xml:space="preserve">entitled “Women 2000: gender equality, development and </w:t>
      </w:r>
      <w:r>
        <w:rPr>
          <w:b/>
        </w:rPr>
        <w:br/>
        <w:t>peace for the twenty-first century”</w:t>
      </w:r>
    </w:p>
    <w:p w14:paraId="1BACC906" w14:textId="77777777" w:rsidR="00EF60A5" w:rsidRDefault="00EF60A5">
      <w:pPr>
        <w:rPr>
          <w:sz w:val="28"/>
          <w:szCs w:val="28"/>
        </w:rPr>
      </w:pPr>
    </w:p>
    <w:p w14:paraId="4EA8B06A" w14:textId="77777777" w:rsidR="00EF60A5" w:rsidRDefault="00EF60A5">
      <w:pPr>
        <w:rPr>
          <w:sz w:val="28"/>
          <w:szCs w:val="28"/>
        </w:rPr>
      </w:pPr>
    </w:p>
    <w:p w14:paraId="3884A60E" w14:textId="77777777" w:rsidR="00EF60A5" w:rsidRDefault="00EF60A5">
      <w:pPr>
        <w:rPr>
          <w:sz w:val="28"/>
          <w:szCs w:val="28"/>
        </w:rPr>
      </w:pPr>
    </w:p>
    <w:p w14:paraId="53E32EDE" w14:textId="77777777" w:rsidR="00EF60A5" w:rsidRDefault="0000000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auto"/>
        <w:ind w:left="1267" w:right="1260" w:firstLine="17"/>
        <w:rPr>
          <w:b/>
          <w:color w:val="000000"/>
          <w:sz w:val="28"/>
          <w:szCs w:val="28"/>
        </w:rPr>
      </w:pPr>
      <w:r>
        <w:rPr>
          <w:b/>
          <w:sz w:val="28"/>
          <w:szCs w:val="28"/>
        </w:rPr>
        <w:t xml:space="preserve">Statement submitted by The New Woman </w:t>
      </w:r>
      <w:proofErr w:type="gramStart"/>
      <w:r>
        <w:rPr>
          <w:b/>
          <w:sz w:val="28"/>
          <w:szCs w:val="28"/>
        </w:rPr>
        <w:t>Foundation,  Sanad</w:t>
      </w:r>
      <w:proofErr w:type="gramEnd"/>
      <w:r>
        <w:rPr>
          <w:b/>
          <w:sz w:val="28"/>
          <w:szCs w:val="28"/>
        </w:rPr>
        <w:t xml:space="preserve"> Foundation for Legal Support of </w:t>
      </w:r>
      <w:proofErr w:type="gramStart"/>
      <w:r>
        <w:rPr>
          <w:b/>
          <w:sz w:val="28"/>
          <w:szCs w:val="28"/>
        </w:rPr>
        <w:t>Women,  Manara</w:t>
      </w:r>
      <w:proofErr w:type="gramEnd"/>
      <w:r>
        <w:rPr>
          <w:b/>
          <w:sz w:val="28"/>
          <w:szCs w:val="28"/>
        </w:rPr>
        <w:t xml:space="preserve"> Initiative for Legal and Psychological Support of Women in the Canal </w:t>
      </w:r>
      <w:proofErr w:type="gramStart"/>
      <w:r>
        <w:rPr>
          <w:b/>
          <w:sz w:val="28"/>
          <w:szCs w:val="28"/>
        </w:rPr>
        <w:t>Cities,  Sawt</w:t>
      </w:r>
      <w:proofErr w:type="gramEnd"/>
      <w:r>
        <w:rPr>
          <w:b/>
          <w:sz w:val="28"/>
          <w:szCs w:val="28"/>
        </w:rPr>
        <w:t xml:space="preserve"> Initiative for Women's </w:t>
      </w:r>
      <w:proofErr w:type="gramStart"/>
      <w:r>
        <w:rPr>
          <w:b/>
          <w:sz w:val="28"/>
          <w:szCs w:val="28"/>
        </w:rPr>
        <w:t>Rights,  Genderist</w:t>
      </w:r>
      <w:proofErr w:type="gramEnd"/>
      <w:r>
        <w:rPr>
          <w:b/>
          <w:sz w:val="28"/>
          <w:szCs w:val="28"/>
        </w:rPr>
        <w:t xml:space="preserve">, Barah Amen, </w:t>
      </w:r>
      <w:proofErr w:type="spellStart"/>
      <w:r>
        <w:rPr>
          <w:b/>
          <w:sz w:val="28"/>
          <w:szCs w:val="28"/>
        </w:rPr>
        <w:t>Ganoubyya</w:t>
      </w:r>
      <w:proofErr w:type="spellEnd"/>
      <w:r>
        <w:rPr>
          <w:b/>
          <w:sz w:val="28"/>
          <w:szCs w:val="28"/>
        </w:rPr>
        <w:t xml:space="preserve"> Horra, Egyptians Without Borders Foundation, Permanent Conference for Working Women and The Egyptian </w:t>
      </w:r>
      <w:proofErr w:type="spellStart"/>
      <w:r>
        <w:rPr>
          <w:b/>
          <w:sz w:val="28"/>
          <w:szCs w:val="28"/>
        </w:rPr>
        <w:t>Center</w:t>
      </w:r>
      <w:proofErr w:type="spellEnd"/>
      <w:r>
        <w:rPr>
          <w:b/>
          <w:sz w:val="28"/>
          <w:szCs w:val="28"/>
        </w:rPr>
        <w:t xml:space="preserve"> for Trade Union and Workers Services (CTUWS) non-governmental organizations in consultative status with the Economic and Social Council*</w:t>
      </w:r>
    </w:p>
    <w:p w14:paraId="4D89D4F0" w14:textId="77777777" w:rsidR="00EF60A5" w:rsidRDefault="00EF60A5">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color w:val="000000"/>
        </w:rPr>
      </w:pPr>
    </w:p>
    <w:p w14:paraId="3BBAD04E" w14:textId="77777777" w:rsidR="00EF60A5" w:rsidRDefault="00000000">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firstLine="533"/>
        <w:jc w:val="both"/>
        <w:rPr>
          <w:color w:val="000000"/>
        </w:rPr>
      </w:pPr>
      <w:r>
        <w:rPr>
          <w:color w:val="000000"/>
        </w:rPr>
        <w:t>The Secretary-General has received the following statement, which is being circulated in accordance with paragraphs 36 and 37 of Economic and Social Council resolution 1996/31.</w:t>
      </w:r>
    </w:p>
    <w:p w14:paraId="08D6275E" w14:textId="77777777" w:rsidR="00EF60A5" w:rsidRDefault="00000000">
      <w:pPr>
        <w:tabs>
          <w:tab w:val="left" w:pos="2370"/>
        </w:tabs>
        <w:spacing w:after="160" w:line="259" w:lineRule="auto"/>
      </w:pPr>
      <w:r>
        <w:tab/>
      </w:r>
    </w:p>
    <w:p w14:paraId="1AB0EB43" w14:textId="77777777" w:rsidR="00EF60A5" w:rsidRDefault="00EF60A5">
      <w:pPr>
        <w:spacing w:after="160" w:line="259" w:lineRule="auto"/>
      </w:pPr>
    </w:p>
    <w:p w14:paraId="103E1FF7" w14:textId="77777777" w:rsidR="00EF60A5" w:rsidRDefault="00EF60A5">
      <w:pPr>
        <w:spacing w:after="160" w:line="259" w:lineRule="auto"/>
      </w:pPr>
    </w:p>
    <w:p w14:paraId="3A5D0A2B" w14:textId="77777777" w:rsidR="00EF60A5" w:rsidRDefault="00EF60A5">
      <w:pPr>
        <w:spacing w:after="160" w:line="259" w:lineRule="auto"/>
      </w:pPr>
    </w:p>
    <w:p w14:paraId="1E5BD962" w14:textId="77777777" w:rsidR="00EF60A5" w:rsidRDefault="00EF60A5">
      <w:pPr>
        <w:spacing w:after="160" w:line="259" w:lineRule="auto"/>
      </w:pPr>
    </w:p>
    <w:p w14:paraId="44AF3C33" w14:textId="77777777" w:rsidR="00EF60A5" w:rsidRDefault="00000000">
      <w:pPr>
        <w:tabs>
          <w:tab w:val="left" w:pos="4590"/>
        </w:tabs>
        <w:spacing w:after="160" w:line="259" w:lineRule="auto"/>
      </w:pPr>
      <w:r>
        <w:tab/>
      </w:r>
    </w:p>
    <w:p w14:paraId="11A541D4" w14:textId="77777777" w:rsidR="00EF60A5" w:rsidRDefault="00000000">
      <w:pPr>
        <w:pBdr>
          <w:top w:val="nil"/>
          <w:left w:val="nil"/>
          <w:bottom w:val="nil"/>
          <w:right w:val="nil"/>
          <w:between w:val="nil"/>
        </w:pBdr>
        <w:tabs>
          <w:tab w:val="center" w:pos="4680"/>
          <w:tab w:val="right" w:pos="9360"/>
        </w:tabs>
        <w:rPr>
          <w:color w:val="000000"/>
        </w:rPr>
      </w:pPr>
      <w:r>
        <w:rPr>
          <w:color w:val="000000"/>
        </w:rPr>
        <w:t>* The present statement is issued without formal editing.</w:t>
      </w:r>
    </w:p>
    <w:p w14:paraId="0BDB1891" w14:textId="77777777" w:rsidR="00EF60A5" w:rsidRDefault="00000000">
      <w:pPr>
        <w:spacing w:after="160" w:line="259" w:lineRule="auto"/>
      </w:pPr>
      <w:r>
        <w:br w:type="page"/>
      </w:r>
    </w:p>
    <w:p w14:paraId="6F4A2F24" w14:textId="77777777" w:rsidR="00EF60A5" w:rsidRDefault="00000000">
      <w:pPr>
        <w:pBdr>
          <w:top w:val="nil"/>
          <w:left w:val="nil"/>
          <w:bottom w:val="nil"/>
          <w:right w:val="nil"/>
          <w:between w:val="nil"/>
        </w:pBdr>
        <w:tabs>
          <w:tab w:val="left" w:pos="1710"/>
        </w:tabs>
        <w:spacing w:before="600" w:after="600"/>
        <w:rPr>
          <w:b/>
          <w:color w:val="000000"/>
          <w:sz w:val="24"/>
          <w:szCs w:val="24"/>
        </w:rPr>
      </w:pPr>
      <w:r>
        <w:rPr>
          <w:b/>
          <w:color w:val="000000"/>
          <w:sz w:val="24"/>
          <w:szCs w:val="24"/>
        </w:rPr>
        <w:lastRenderedPageBreak/>
        <w:t>Statement</w:t>
      </w:r>
      <w:r>
        <w:rPr>
          <w:b/>
          <w:color w:val="000000"/>
          <w:sz w:val="24"/>
          <w:szCs w:val="24"/>
        </w:rPr>
        <w:tab/>
      </w:r>
    </w:p>
    <w:p w14:paraId="0BFF6853" w14:textId="77777777" w:rsidR="00EF60A5" w:rsidRDefault="00000000">
      <w:pPr>
        <w:spacing w:line="480" w:lineRule="auto"/>
        <w:ind w:firstLine="720"/>
        <w:jc w:val="center"/>
        <w:rPr>
          <w:b/>
          <w:color w:val="222222"/>
          <w:sz w:val="28"/>
          <w:szCs w:val="28"/>
        </w:rPr>
      </w:pPr>
      <w:r>
        <w:rPr>
          <w:b/>
          <w:color w:val="222222"/>
          <w:sz w:val="28"/>
          <w:szCs w:val="28"/>
        </w:rPr>
        <w:t xml:space="preserve">The Status of Egyptian Women: Between Partial Access to Gender Justice and Ongoing Marginal </w:t>
      </w:r>
      <w:proofErr w:type="spellStart"/>
      <w:r>
        <w:rPr>
          <w:b/>
          <w:color w:val="222222"/>
          <w:sz w:val="28"/>
          <w:szCs w:val="28"/>
        </w:rPr>
        <w:t>Whitwashing</w:t>
      </w:r>
      <w:proofErr w:type="spellEnd"/>
      <w:r>
        <w:rPr>
          <w:b/>
          <w:color w:val="222222"/>
          <w:sz w:val="28"/>
          <w:szCs w:val="28"/>
        </w:rPr>
        <w:t xml:space="preserve"> Efforts </w:t>
      </w:r>
    </w:p>
    <w:p w14:paraId="6051EF86" w14:textId="77777777" w:rsidR="00EF60A5" w:rsidRDefault="00EF60A5">
      <w:pPr>
        <w:spacing w:line="480" w:lineRule="auto"/>
        <w:ind w:firstLine="720"/>
        <w:jc w:val="both"/>
        <w:rPr>
          <w:color w:val="222222"/>
          <w:sz w:val="24"/>
          <w:szCs w:val="24"/>
        </w:rPr>
      </w:pPr>
    </w:p>
    <w:p w14:paraId="425ECA6F" w14:textId="77777777" w:rsidR="00EF60A5" w:rsidRDefault="00000000">
      <w:pPr>
        <w:spacing w:line="480" w:lineRule="auto"/>
        <w:ind w:firstLine="720"/>
        <w:jc w:val="both"/>
        <w:rPr>
          <w:color w:val="222222"/>
          <w:sz w:val="24"/>
          <w:szCs w:val="24"/>
        </w:rPr>
      </w:pPr>
      <w:r>
        <w:rPr>
          <w:color w:val="222222"/>
          <w:sz w:val="24"/>
          <w:szCs w:val="24"/>
        </w:rPr>
        <w:t>Egyptian feminist and human rights civil society organizations and initiatives issue this statement on the fragmented access to gender justice experienced by Egyptian women across political, social, economic, cultural, and environmental dimensions.</w:t>
      </w:r>
    </w:p>
    <w:p w14:paraId="4988ED99" w14:textId="77777777" w:rsidR="00EF60A5" w:rsidRDefault="00000000">
      <w:pPr>
        <w:spacing w:line="480" w:lineRule="auto"/>
        <w:ind w:firstLine="720"/>
        <w:jc w:val="both"/>
        <w:rPr>
          <w:color w:val="222222"/>
          <w:sz w:val="24"/>
          <w:szCs w:val="24"/>
        </w:rPr>
      </w:pPr>
      <w:r>
        <w:rPr>
          <w:color w:val="222222"/>
          <w:sz w:val="24"/>
          <w:szCs w:val="24"/>
        </w:rPr>
        <w:t>This statement comes as part of our follow-up on issues related to women’s conditions under discussion in the 70th session of the Commission on the Status of Women (CSW), which convenes periodically at the United Nations headquarters, and which this year adopts “Access to Gender Justice” as its main theme.</w:t>
      </w:r>
    </w:p>
    <w:p w14:paraId="250FE84A" w14:textId="77777777" w:rsidR="00EF60A5" w:rsidRDefault="00EF60A5">
      <w:pPr>
        <w:spacing w:line="480" w:lineRule="auto"/>
        <w:ind w:firstLine="720"/>
        <w:jc w:val="both"/>
        <w:rPr>
          <w:color w:val="222222"/>
          <w:sz w:val="24"/>
          <w:szCs w:val="24"/>
        </w:rPr>
      </w:pPr>
    </w:p>
    <w:p w14:paraId="6E4F3353" w14:textId="77777777" w:rsidR="00EF60A5" w:rsidRDefault="00EF60A5">
      <w:pPr>
        <w:spacing w:line="480" w:lineRule="auto"/>
        <w:ind w:firstLine="720"/>
        <w:jc w:val="both"/>
        <w:rPr>
          <w:color w:val="222222"/>
          <w:sz w:val="24"/>
          <w:szCs w:val="24"/>
        </w:rPr>
      </w:pPr>
    </w:p>
    <w:p w14:paraId="6F70EC30" w14:textId="77777777" w:rsidR="00EF60A5" w:rsidRDefault="00000000">
      <w:pPr>
        <w:spacing w:line="480" w:lineRule="auto"/>
        <w:ind w:firstLine="720"/>
        <w:jc w:val="both"/>
        <w:rPr>
          <w:b/>
          <w:color w:val="222222"/>
          <w:sz w:val="24"/>
          <w:szCs w:val="24"/>
        </w:rPr>
      </w:pPr>
      <w:r>
        <w:rPr>
          <w:b/>
          <w:color w:val="222222"/>
          <w:sz w:val="24"/>
          <w:szCs w:val="24"/>
        </w:rPr>
        <w:t>Access to Legislative Protection from Violence in the Public and Private Spheres</w:t>
      </w:r>
    </w:p>
    <w:p w14:paraId="5A21E326" w14:textId="77777777" w:rsidR="00EF60A5" w:rsidRDefault="00EF60A5">
      <w:pPr>
        <w:spacing w:line="480" w:lineRule="auto"/>
        <w:ind w:firstLine="720"/>
        <w:jc w:val="both"/>
        <w:rPr>
          <w:color w:val="222222"/>
          <w:sz w:val="24"/>
          <w:szCs w:val="24"/>
        </w:rPr>
      </w:pPr>
    </w:p>
    <w:p w14:paraId="6114106E" w14:textId="77777777" w:rsidR="00EF60A5" w:rsidRDefault="00000000">
      <w:pPr>
        <w:spacing w:line="480" w:lineRule="auto"/>
        <w:ind w:firstLine="720"/>
        <w:jc w:val="both"/>
        <w:rPr>
          <w:color w:val="222222"/>
          <w:sz w:val="24"/>
          <w:szCs w:val="24"/>
        </w:rPr>
      </w:pPr>
      <w:r>
        <w:rPr>
          <w:color w:val="222222"/>
          <w:sz w:val="24"/>
          <w:szCs w:val="24"/>
        </w:rPr>
        <w:t>Egypt has witnessed an unprecedented rise in femicide rates in both the public and private spheres. Meanwhile, legislative protection from violence against women continues to fall short of providing the justice, accountability, and deterrence required to end impunity and challenge the legal and social tolerance for domestic and gender-based violence.</w:t>
      </w:r>
    </w:p>
    <w:p w14:paraId="59C72DD1" w14:textId="77777777" w:rsidR="00EF60A5" w:rsidRDefault="00EF60A5">
      <w:pPr>
        <w:spacing w:line="480" w:lineRule="auto"/>
        <w:ind w:firstLine="720"/>
        <w:jc w:val="both"/>
        <w:rPr>
          <w:color w:val="222222"/>
          <w:sz w:val="24"/>
          <w:szCs w:val="24"/>
        </w:rPr>
      </w:pPr>
    </w:p>
    <w:p w14:paraId="49358D4E" w14:textId="77777777" w:rsidR="00EF60A5" w:rsidRDefault="00000000">
      <w:pPr>
        <w:spacing w:line="480" w:lineRule="auto"/>
        <w:ind w:firstLine="720"/>
        <w:jc w:val="both"/>
        <w:rPr>
          <w:color w:val="222222"/>
          <w:sz w:val="24"/>
          <w:szCs w:val="24"/>
        </w:rPr>
      </w:pPr>
      <w:r>
        <w:rPr>
          <w:color w:val="222222"/>
          <w:sz w:val="24"/>
          <w:szCs w:val="24"/>
        </w:rPr>
        <w:lastRenderedPageBreak/>
        <w:t>This failure is evident in the repeated inability of the previous parliament to pass a coherent and comprehensive legislative package protecting Egyptian women from violence, including the long-delayed issuance of a new Personal Status Law, despite it having been over a century since the current law was enacted. This is in spite of the feminist movement’s decades-long efforts to propose alternative legislative frameworks and open social dialogue around them.</w:t>
      </w:r>
    </w:p>
    <w:p w14:paraId="267AD622" w14:textId="77777777" w:rsidR="00EF60A5" w:rsidRDefault="00EF60A5">
      <w:pPr>
        <w:spacing w:line="480" w:lineRule="auto"/>
        <w:ind w:firstLine="720"/>
        <w:jc w:val="both"/>
        <w:rPr>
          <w:color w:val="222222"/>
          <w:sz w:val="24"/>
          <w:szCs w:val="24"/>
        </w:rPr>
      </w:pPr>
    </w:p>
    <w:p w14:paraId="5175A64D" w14:textId="77777777" w:rsidR="00EF60A5" w:rsidRDefault="00000000">
      <w:pPr>
        <w:spacing w:line="480" w:lineRule="auto"/>
        <w:ind w:firstLine="720"/>
        <w:jc w:val="both"/>
        <w:rPr>
          <w:color w:val="222222"/>
          <w:sz w:val="24"/>
          <w:szCs w:val="24"/>
        </w:rPr>
      </w:pPr>
      <w:r>
        <w:rPr>
          <w:color w:val="222222"/>
          <w:sz w:val="24"/>
          <w:szCs w:val="24"/>
        </w:rPr>
        <w:t>The justice process also remains hampered by the continued use of Articles 17 and 60 of Egypt’s Penal Code, which allow for “disciplinary rights” and grant judges wide discretionary powers. These articles have undermined the imposition of appropriate sentences in cases of femicide and domestic violence, undermining the principle of proportional punishment and accountability.</w:t>
      </w:r>
    </w:p>
    <w:p w14:paraId="2979AA8C" w14:textId="77777777" w:rsidR="00EF60A5" w:rsidRDefault="00EF60A5">
      <w:pPr>
        <w:spacing w:line="480" w:lineRule="auto"/>
        <w:ind w:firstLine="720"/>
        <w:jc w:val="both"/>
        <w:rPr>
          <w:color w:val="222222"/>
          <w:sz w:val="24"/>
          <w:szCs w:val="24"/>
        </w:rPr>
      </w:pPr>
    </w:p>
    <w:p w14:paraId="3B9076C8" w14:textId="77777777" w:rsidR="00EF60A5" w:rsidRDefault="00000000">
      <w:pPr>
        <w:spacing w:line="480" w:lineRule="auto"/>
        <w:ind w:firstLine="720"/>
        <w:jc w:val="both"/>
        <w:rPr>
          <w:color w:val="222222"/>
          <w:sz w:val="24"/>
          <w:szCs w:val="24"/>
        </w:rPr>
      </w:pPr>
      <w:r>
        <w:rPr>
          <w:color w:val="222222"/>
          <w:sz w:val="24"/>
          <w:szCs w:val="24"/>
        </w:rPr>
        <w:t>At the same time, online gender-based violence has surged. Rates of digital blackmail and sexual extortion against women and girls are climbing, leading in some cases to suicides among young women in impoverished and marginalized areas. Despite repeated feminist campaigns urging legal and political intervention to criminalize cyber-violence, the executive and legislative authorities have shown almost no tangible response, neither by enacting a unified law to combat violence against women nor by updating existing legislation to address evolving digital crimes.</w:t>
      </w:r>
    </w:p>
    <w:p w14:paraId="302999CB" w14:textId="77777777" w:rsidR="00EF60A5" w:rsidRDefault="00EF60A5">
      <w:pPr>
        <w:spacing w:line="480" w:lineRule="auto"/>
        <w:ind w:firstLine="720"/>
        <w:jc w:val="both"/>
        <w:rPr>
          <w:color w:val="222222"/>
          <w:sz w:val="24"/>
          <w:szCs w:val="24"/>
        </w:rPr>
      </w:pPr>
    </w:p>
    <w:p w14:paraId="46FDD0FF" w14:textId="77777777" w:rsidR="00EF60A5" w:rsidRDefault="00000000">
      <w:pPr>
        <w:spacing w:line="480" w:lineRule="auto"/>
        <w:ind w:firstLine="720"/>
        <w:jc w:val="both"/>
        <w:rPr>
          <w:color w:val="222222"/>
          <w:sz w:val="24"/>
          <w:szCs w:val="24"/>
        </w:rPr>
      </w:pPr>
      <w:r>
        <w:rPr>
          <w:color w:val="222222"/>
          <w:sz w:val="24"/>
          <w:szCs w:val="24"/>
        </w:rPr>
        <w:t>Access to protection services, such as shelters and emergency assistance, remains gravely insufficient and incapable of meeting the growing demand created by the rising rates of gender-based violence.</w:t>
      </w:r>
    </w:p>
    <w:p w14:paraId="12478EB9" w14:textId="77777777" w:rsidR="00EF60A5" w:rsidRDefault="00EF60A5">
      <w:pPr>
        <w:spacing w:line="480" w:lineRule="auto"/>
        <w:ind w:firstLine="720"/>
        <w:jc w:val="both"/>
        <w:rPr>
          <w:color w:val="222222"/>
          <w:sz w:val="24"/>
          <w:szCs w:val="24"/>
        </w:rPr>
      </w:pPr>
    </w:p>
    <w:p w14:paraId="5E3AF8A4" w14:textId="77777777" w:rsidR="00EF60A5" w:rsidRDefault="00000000">
      <w:pPr>
        <w:spacing w:line="480" w:lineRule="auto"/>
        <w:ind w:firstLine="720"/>
        <w:jc w:val="both"/>
        <w:rPr>
          <w:color w:val="222222"/>
          <w:sz w:val="24"/>
          <w:szCs w:val="24"/>
        </w:rPr>
      </w:pPr>
      <w:r>
        <w:rPr>
          <w:color w:val="222222"/>
          <w:sz w:val="24"/>
          <w:szCs w:val="24"/>
        </w:rPr>
        <w:lastRenderedPageBreak/>
        <w:t>While some state institutions have made minor digital advances to facilitate access to justice, these efforts are offset by the arbitrary increase in judicial fees, which now threaten the constitutional right to fair access to litigation. The imposition of such excessive and uneven court fees effectively turns the justice process into a system of pay-to-access rights.</w:t>
      </w:r>
    </w:p>
    <w:p w14:paraId="17619694" w14:textId="77777777" w:rsidR="00EF60A5" w:rsidRDefault="00EF60A5">
      <w:pPr>
        <w:spacing w:line="480" w:lineRule="auto"/>
        <w:ind w:firstLine="720"/>
        <w:jc w:val="both"/>
        <w:rPr>
          <w:color w:val="222222"/>
          <w:sz w:val="24"/>
          <w:szCs w:val="24"/>
        </w:rPr>
      </w:pPr>
    </w:p>
    <w:p w14:paraId="15DA6DEE" w14:textId="77777777" w:rsidR="00EF60A5" w:rsidRDefault="00000000">
      <w:pPr>
        <w:spacing w:line="480" w:lineRule="auto"/>
        <w:ind w:firstLine="720"/>
        <w:jc w:val="both"/>
        <w:rPr>
          <w:color w:val="222222"/>
          <w:sz w:val="24"/>
          <w:szCs w:val="24"/>
        </w:rPr>
      </w:pPr>
      <w:r>
        <w:rPr>
          <w:color w:val="222222"/>
          <w:sz w:val="24"/>
          <w:szCs w:val="24"/>
        </w:rPr>
        <w:t>Additionally, from 2022 to the present, women content creators and social media influencers have faced waves of arrests under vaguely defined “family values” and “public morality” clauses in the Cybercrime Law and related legislation.</w:t>
      </w:r>
    </w:p>
    <w:p w14:paraId="77B805D8" w14:textId="77777777" w:rsidR="00EF60A5" w:rsidRDefault="00EF60A5">
      <w:pPr>
        <w:spacing w:line="480" w:lineRule="auto"/>
        <w:ind w:firstLine="720"/>
        <w:jc w:val="both"/>
        <w:rPr>
          <w:color w:val="222222"/>
          <w:sz w:val="24"/>
          <w:szCs w:val="24"/>
        </w:rPr>
      </w:pPr>
    </w:p>
    <w:p w14:paraId="69C52D1F" w14:textId="77777777" w:rsidR="00EF60A5" w:rsidRDefault="00000000">
      <w:pPr>
        <w:spacing w:line="480" w:lineRule="auto"/>
        <w:ind w:firstLine="720"/>
        <w:jc w:val="both"/>
        <w:rPr>
          <w:color w:val="222222"/>
          <w:sz w:val="24"/>
          <w:szCs w:val="24"/>
        </w:rPr>
      </w:pPr>
      <w:r>
        <w:rPr>
          <w:color w:val="222222"/>
          <w:sz w:val="24"/>
          <w:szCs w:val="24"/>
        </w:rPr>
        <w:t xml:space="preserve">Compounding these violations, proposed amendments to Egypt’s Code of Criminal Procedure further expand the powers of law enforcement and prosecution authorities, threatening fair trial guarantees, the right to privacy, and access to legal </w:t>
      </w:r>
      <w:proofErr w:type="spellStart"/>
      <w:r>
        <w:rPr>
          <w:color w:val="222222"/>
          <w:sz w:val="24"/>
          <w:szCs w:val="24"/>
        </w:rPr>
        <w:t>defense</w:t>
      </w:r>
      <w:proofErr w:type="spellEnd"/>
      <w:r>
        <w:rPr>
          <w:color w:val="222222"/>
          <w:sz w:val="24"/>
          <w:szCs w:val="24"/>
        </w:rPr>
        <w:t>.</w:t>
      </w:r>
    </w:p>
    <w:p w14:paraId="4C60EFA1" w14:textId="77777777" w:rsidR="00EF60A5" w:rsidRDefault="00EF60A5">
      <w:pPr>
        <w:spacing w:line="480" w:lineRule="auto"/>
        <w:ind w:firstLine="720"/>
        <w:jc w:val="both"/>
        <w:rPr>
          <w:color w:val="222222"/>
          <w:sz w:val="24"/>
          <w:szCs w:val="24"/>
        </w:rPr>
      </w:pPr>
    </w:p>
    <w:p w14:paraId="3DD5C682" w14:textId="77777777" w:rsidR="00EF60A5" w:rsidRDefault="00000000">
      <w:pPr>
        <w:spacing w:line="480" w:lineRule="auto"/>
        <w:ind w:firstLine="720"/>
        <w:jc w:val="both"/>
        <w:rPr>
          <w:color w:val="222222"/>
          <w:sz w:val="24"/>
          <w:szCs w:val="24"/>
        </w:rPr>
      </w:pPr>
      <w:r>
        <w:rPr>
          <w:color w:val="222222"/>
          <w:sz w:val="24"/>
          <w:szCs w:val="24"/>
        </w:rPr>
        <w:t>The escalation of gender-based violence cannot be separated from the broader context of restricted civic and political space in Egypt. Widening authoritarian control, combined with austerity-driven economic policies, has deepened structural inequalities and social fragility, leaving women especially vulnerable to systemic injustice.</w:t>
      </w:r>
    </w:p>
    <w:p w14:paraId="4D2D4CF5" w14:textId="77777777" w:rsidR="00EF60A5" w:rsidRDefault="00EF60A5">
      <w:pPr>
        <w:spacing w:line="480" w:lineRule="auto"/>
        <w:ind w:firstLine="720"/>
        <w:jc w:val="both"/>
        <w:rPr>
          <w:color w:val="222222"/>
          <w:sz w:val="24"/>
          <w:szCs w:val="24"/>
        </w:rPr>
      </w:pPr>
    </w:p>
    <w:p w14:paraId="5DEE23C6" w14:textId="77777777" w:rsidR="00EF60A5" w:rsidRDefault="00000000">
      <w:pPr>
        <w:spacing w:line="480" w:lineRule="auto"/>
        <w:ind w:firstLine="720"/>
        <w:jc w:val="both"/>
        <w:rPr>
          <w:b/>
          <w:color w:val="222222"/>
          <w:sz w:val="24"/>
          <w:szCs w:val="24"/>
        </w:rPr>
      </w:pPr>
      <w:r>
        <w:rPr>
          <w:b/>
          <w:color w:val="222222"/>
          <w:sz w:val="24"/>
          <w:szCs w:val="24"/>
        </w:rPr>
        <w:t>Economic and Social Rights</w:t>
      </w:r>
    </w:p>
    <w:p w14:paraId="13DF5BCB" w14:textId="77777777" w:rsidR="00EF60A5" w:rsidRDefault="00EF60A5">
      <w:pPr>
        <w:spacing w:line="480" w:lineRule="auto"/>
        <w:ind w:firstLine="720"/>
        <w:jc w:val="both"/>
        <w:rPr>
          <w:color w:val="222222"/>
          <w:sz w:val="24"/>
          <w:szCs w:val="24"/>
        </w:rPr>
      </w:pPr>
    </w:p>
    <w:p w14:paraId="7AD12DB2" w14:textId="77777777" w:rsidR="00EF60A5" w:rsidRDefault="00000000">
      <w:pPr>
        <w:spacing w:line="480" w:lineRule="auto"/>
        <w:ind w:firstLine="720"/>
        <w:jc w:val="both"/>
        <w:rPr>
          <w:color w:val="222222"/>
          <w:sz w:val="24"/>
          <w:szCs w:val="24"/>
        </w:rPr>
      </w:pPr>
      <w:r>
        <w:rPr>
          <w:color w:val="222222"/>
          <w:sz w:val="24"/>
          <w:szCs w:val="24"/>
        </w:rPr>
        <w:t xml:space="preserve">According to recent UN reports, women’s conditions in Egypt show a marked regression in gender equality indicators and a rising rate of women’s withdrawal from the </w:t>
      </w:r>
      <w:proofErr w:type="spellStart"/>
      <w:r>
        <w:rPr>
          <w:color w:val="222222"/>
          <w:sz w:val="24"/>
          <w:szCs w:val="24"/>
        </w:rPr>
        <w:t>labor</w:t>
      </w:r>
      <w:proofErr w:type="spellEnd"/>
      <w:r>
        <w:rPr>
          <w:color w:val="222222"/>
          <w:sz w:val="24"/>
          <w:szCs w:val="24"/>
        </w:rPr>
        <w:t xml:space="preserve"> force.</w:t>
      </w:r>
    </w:p>
    <w:p w14:paraId="45D2F349" w14:textId="77777777" w:rsidR="00EF60A5" w:rsidRDefault="00000000">
      <w:pPr>
        <w:spacing w:line="480" w:lineRule="auto"/>
        <w:ind w:firstLine="720"/>
        <w:jc w:val="both"/>
        <w:rPr>
          <w:color w:val="222222"/>
          <w:sz w:val="24"/>
          <w:szCs w:val="24"/>
        </w:rPr>
      </w:pPr>
      <w:r>
        <w:rPr>
          <w:color w:val="222222"/>
          <w:sz w:val="24"/>
          <w:szCs w:val="24"/>
        </w:rPr>
        <w:lastRenderedPageBreak/>
        <w:t>For instance, in the health sector, numerous doctors and nurses, particularly in maternity and obstetrics wards, have resigned due to exploitative working hours, deteriorating safety conditions, and the lack of decent work standards.</w:t>
      </w:r>
    </w:p>
    <w:p w14:paraId="48CC0778" w14:textId="77777777" w:rsidR="00EF60A5" w:rsidRDefault="00EF60A5">
      <w:pPr>
        <w:spacing w:line="480" w:lineRule="auto"/>
        <w:ind w:firstLine="720"/>
        <w:jc w:val="both"/>
        <w:rPr>
          <w:color w:val="222222"/>
          <w:sz w:val="24"/>
          <w:szCs w:val="24"/>
        </w:rPr>
      </w:pPr>
    </w:p>
    <w:p w14:paraId="5647592A" w14:textId="77777777" w:rsidR="00EF60A5" w:rsidRDefault="00000000">
      <w:pPr>
        <w:spacing w:line="480" w:lineRule="auto"/>
        <w:ind w:firstLine="720"/>
        <w:jc w:val="both"/>
        <w:rPr>
          <w:color w:val="222222"/>
          <w:sz w:val="24"/>
          <w:szCs w:val="24"/>
        </w:rPr>
      </w:pPr>
      <w:r>
        <w:rPr>
          <w:color w:val="222222"/>
          <w:sz w:val="24"/>
          <w:szCs w:val="24"/>
        </w:rPr>
        <w:t xml:space="preserve">Tragedy also struck when twenty young women and girls employed in the agricultural sector were killed in a series of highway accidents while commuting to work, a stark reminder of the extreme vulnerability and poverty facing rural women </w:t>
      </w:r>
      <w:proofErr w:type="spellStart"/>
      <w:r>
        <w:rPr>
          <w:color w:val="222222"/>
          <w:sz w:val="24"/>
          <w:szCs w:val="24"/>
        </w:rPr>
        <w:t>laborers</w:t>
      </w:r>
      <w:proofErr w:type="spellEnd"/>
      <w:r>
        <w:rPr>
          <w:color w:val="222222"/>
          <w:sz w:val="24"/>
          <w:szCs w:val="24"/>
        </w:rPr>
        <w:t>. These workers, largely uninsured and underpaid, continue to lack social protection, fair wages, and workplace safety guarantees.</w:t>
      </w:r>
    </w:p>
    <w:p w14:paraId="0A34808B" w14:textId="77777777" w:rsidR="00EF60A5" w:rsidRDefault="00EF60A5">
      <w:pPr>
        <w:spacing w:line="480" w:lineRule="auto"/>
        <w:ind w:firstLine="720"/>
        <w:jc w:val="both"/>
        <w:rPr>
          <w:color w:val="222222"/>
          <w:sz w:val="24"/>
          <w:szCs w:val="24"/>
        </w:rPr>
      </w:pPr>
    </w:p>
    <w:p w14:paraId="1B3417A2" w14:textId="77777777" w:rsidR="00EF60A5" w:rsidRDefault="00000000">
      <w:pPr>
        <w:spacing w:line="480" w:lineRule="auto"/>
        <w:ind w:firstLine="720"/>
        <w:jc w:val="both"/>
        <w:rPr>
          <w:color w:val="222222"/>
          <w:sz w:val="24"/>
          <w:szCs w:val="24"/>
        </w:rPr>
      </w:pPr>
      <w:r>
        <w:rPr>
          <w:color w:val="222222"/>
          <w:sz w:val="24"/>
          <w:szCs w:val="24"/>
        </w:rPr>
        <w:t xml:space="preserve">Meanwhile, Egypt’s current economic policies, emphasizing austerity, privatization of public services, wage stagnation amid soaring inflation, subsidy cuts, and deteriorating social care infrastructure, have driven many women out of the formal </w:t>
      </w:r>
      <w:proofErr w:type="spellStart"/>
      <w:r>
        <w:rPr>
          <w:color w:val="222222"/>
          <w:sz w:val="24"/>
          <w:szCs w:val="24"/>
        </w:rPr>
        <w:t>labor</w:t>
      </w:r>
      <w:proofErr w:type="spellEnd"/>
      <w:r>
        <w:rPr>
          <w:color w:val="222222"/>
          <w:sz w:val="24"/>
          <w:szCs w:val="24"/>
        </w:rPr>
        <w:t xml:space="preserve"> market and into unsafe, informal work.</w:t>
      </w:r>
    </w:p>
    <w:p w14:paraId="387B721A" w14:textId="77777777" w:rsidR="00EF60A5" w:rsidRDefault="00EF60A5">
      <w:pPr>
        <w:spacing w:line="480" w:lineRule="auto"/>
        <w:ind w:firstLine="720"/>
        <w:jc w:val="both"/>
        <w:rPr>
          <w:color w:val="222222"/>
          <w:sz w:val="24"/>
          <w:szCs w:val="24"/>
        </w:rPr>
      </w:pPr>
    </w:p>
    <w:p w14:paraId="72D51786" w14:textId="77777777" w:rsidR="00EF60A5" w:rsidRDefault="00000000">
      <w:pPr>
        <w:spacing w:line="480" w:lineRule="auto"/>
        <w:ind w:firstLine="720"/>
        <w:jc w:val="both"/>
        <w:rPr>
          <w:color w:val="222222"/>
          <w:sz w:val="24"/>
          <w:szCs w:val="24"/>
        </w:rPr>
      </w:pPr>
      <w:r>
        <w:rPr>
          <w:color w:val="222222"/>
          <w:sz w:val="24"/>
          <w:szCs w:val="24"/>
        </w:rPr>
        <w:t>The climate crisis further exacerbates economic and social injustice. Women, particularly in rural and marginalized communities, bear the heaviest burden through the loss of livelihoods, limited access to water and energy resources, and growing food insecurity.</w:t>
      </w:r>
    </w:p>
    <w:p w14:paraId="73F465D7" w14:textId="77777777" w:rsidR="00EF60A5" w:rsidRDefault="00000000">
      <w:pPr>
        <w:spacing w:line="480" w:lineRule="auto"/>
        <w:ind w:firstLine="720"/>
        <w:jc w:val="both"/>
        <w:rPr>
          <w:color w:val="222222"/>
          <w:sz w:val="24"/>
          <w:szCs w:val="24"/>
        </w:rPr>
      </w:pPr>
      <w:r>
        <w:rPr>
          <w:color w:val="222222"/>
          <w:sz w:val="24"/>
          <w:szCs w:val="24"/>
        </w:rPr>
        <w:t>Climate policies have often been instrumentalized to justify new austerity measures, including fuel subsidy removals and public-service privatization, shifting the cost of adaptation onto the poorest groups, especially women.</w:t>
      </w:r>
    </w:p>
    <w:p w14:paraId="01F3D42F" w14:textId="77777777" w:rsidR="00EF60A5" w:rsidRDefault="00EF60A5">
      <w:pPr>
        <w:spacing w:line="480" w:lineRule="auto"/>
        <w:ind w:firstLine="720"/>
        <w:jc w:val="both"/>
        <w:rPr>
          <w:color w:val="222222"/>
          <w:sz w:val="24"/>
          <w:szCs w:val="24"/>
        </w:rPr>
      </w:pPr>
    </w:p>
    <w:p w14:paraId="021FB1EC" w14:textId="77777777" w:rsidR="00EF60A5" w:rsidRDefault="00000000">
      <w:pPr>
        <w:spacing w:line="480" w:lineRule="auto"/>
        <w:ind w:firstLine="720"/>
        <w:jc w:val="both"/>
        <w:rPr>
          <w:color w:val="222222"/>
          <w:sz w:val="24"/>
          <w:szCs w:val="24"/>
        </w:rPr>
      </w:pPr>
      <w:r>
        <w:rPr>
          <w:color w:val="222222"/>
          <w:sz w:val="24"/>
          <w:szCs w:val="24"/>
        </w:rPr>
        <w:lastRenderedPageBreak/>
        <w:t>These dynamics have intensified women’s unpaid care burdens and restricted their mobility and economic participation. Moreover, the combined effects of climate change, deteriorating infrastructure, and waves of intense heat and cold have altered agricultural patterns, leading thousands of women to lose their agricultural employment without access to fair compensation or social safety nets.</w:t>
      </w:r>
    </w:p>
    <w:p w14:paraId="14F9499C" w14:textId="77777777" w:rsidR="00EF60A5" w:rsidRDefault="00EF60A5">
      <w:pPr>
        <w:spacing w:line="480" w:lineRule="auto"/>
        <w:ind w:firstLine="720"/>
        <w:jc w:val="both"/>
        <w:rPr>
          <w:color w:val="222222"/>
          <w:sz w:val="24"/>
          <w:szCs w:val="24"/>
        </w:rPr>
      </w:pPr>
    </w:p>
    <w:p w14:paraId="3A89A9DA" w14:textId="77777777" w:rsidR="00EF60A5" w:rsidRDefault="00000000">
      <w:pPr>
        <w:spacing w:line="480" w:lineRule="auto"/>
        <w:ind w:firstLine="720"/>
        <w:jc w:val="both"/>
        <w:rPr>
          <w:color w:val="222222"/>
          <w:sz w:val="24"/>
          <w:szCs w:val="24"/>
        </w:rPr>
      </w:pPr>
      <w:r>
        <w:rPr>
          <w:color w:val="222222"/>
          <w:sz w:val="24"/>
          <w:szCs w:val="24"/>
        </w:rPr>
        <w:t>Egyptian feminist organizations affirm that any just approach to addressing climate change must transcend austerity and privatization logics, ensuring equitable resource distribution, accountability in climate finance, and the meaningful participation of women in decision-making at all stages of planning and implementation, in line with the principles of environmental and social justice.</w:t>
      </w:r>
    </w:p>
    <w:p w14:paraId="4E45EDA6" w14:textId="77777777" w:rsidR="00EF60A5" w:rsidRDefault="00EF60A5">
      <w:pPr>
        <w:spacing w:line="480" w:lineRule="auto"/>
        <w:ind w:firstLine="720"/>
        <w:jc w:val="both"/>
        <w:rPr>
          <w:color w:val="222222"/>
          <w:sz w:val="24"/>
          <w:szCs w:val="24"/>
        </w:rPr>
      </w:pPr>
    </w:p>
    <w:p w14:paraId="6BBADEAE" w14:textId="77777777" w:rsidR="00EF60A5" w:rsidRDefault="00000000">
      <w:pPr>
        <w:spacing w:line="480" w:lineRule="auto"/>
        <w:ind w:firstLine="720"/>
        <w:jc w:val="both"/>
        <w:rPr>
          <w:b/>
          <w:color w:val="222222"/>
          <w:sz w:val="24"/>
          <w:szCs w:val="24"/>
        </w:rPr>
      </w:pPr>
      <w:r>
        <w:rPr>
          <w:b/>
          <w:color w:val="222222"/>
          <w:sz w:val="24"/>
          <w:szCs w:val="24"/>
        </w:rPr>
        <w:t>Access to Justice in Conflict and Occupation Contexts</w:t>
      </w:r>
    </w:p>
    <w:p w14:paraId="7AFDB032" w14:textId="77777777" w:rsidR="00EF60A5" w:rsidRDefault="00EF60A5">
      <w:pPr>
        <w:spacing w:line="480" w:lineRule="auto"/>
        <w:ind w:firstLine="720"/>
        <w:jc w:val="both"/>
        <w:rPr>
          <w:color w:val="222222"/>
          <w:sz w:val="24"/>
          <w:szCs w:val="24"/>
        </w:rPr>
      </w:pPr>
    </w:p>
    <w:p w14:paraId="715D5916" w14:textId="77777777" w:rsidR="00EF60A5" w:rsidRDefault="00000000">
      <w:pPr>
        <w:spacing w:line="480" w:lineRule="auto"/>
        <w:ind w:firstLine="720"/>
        <w:jc w:val="both"/>
        <w:rPr>
          <w:color w:val="222222"/>
          <w:sz w:val="24"/>
          <w:szCs w:val="24"/>
        </w:rPr>
      </w:pPr>
      <w:r>
        <w:rPr>
          <w:color w:val="222222"/>
          <w:sz w:val="24"/>
          <w:szCs w:val="24"/>
        </w:rPr>
        <w:t>With the expansion of war and militarization in the region, Egypt has received large numbers of refugees fleeing armed conflict.</w:t>
      </w:r>
    </w:p>
    <w:p w14:paraId="252F82A0" w14:textId="77777777" w:rsidR="00EF60A5" w:rsidRDefault="00000000">
      <w:pPr>
        <w:spacing w:line="480" w:lineRule="auto"/>
        <w:ind w:firstLine="720"/>
        <w:jc w:val="both"/>
        <w:rPr>
          <w:color w:val="222222"/>
          <w:sz w:val="24"/>
          <w:szCs w:val="24"/>
        </w:rPr>
      </w:pPr>
      <w:r>
        <w:rPr>
          <w:color w:val="222222"/>
          <w:sz w:val="24"/>
          <w:szCs w:val="24"/>
        </w:rPr>
        <w:t>Emergency response mechanisms, however, have failed to provide adequate protection or services for refugee and war-survivor women, particularly those arriving from Sudan and Gaza, in areas such as employment, healthcare, and education.</w:t>
      </w:r>
    </w:p>
    <w:p w14:paraId="2AB301AD" w14:textId="77777777" w:rsidR="00EF60A5" w:rsidRDefault="00000000">
      <w:pPr>
        <w:spacing w:line="480" w:lineRule="auto"/>
        <w:ind w:firstLine="720"/>
        <w:jc w:val="both"/>
        <w:rPr>
          <w:color w:val="222222"/>
          <w:sz w:val="24"/>
          <w:szCs w:val="24"/>
        </w:rPr>
      </w:pPr>
      <w:r>
        <w:rPr>
          <w:color w:val="222222"/>
          <w:sz w:val="24"/>
          <w:szCs w:val="24"/>
        </w:rPr>
        <w:t>Debates continue around Egypt’s asylum law and its alignment with international human rights obligations.</w:t>
      </w:r>
    </w:p>
    <w:p w14:paraId="3054239D" w14:textId="77777777" w:rsidR="00EF60A5" w:rsidRDefault="00EF60A5">
      <w:pPr>
        <w:spacing w:line="480" w:lineRule="auto"/>
        <w:ind w:firstLine="720"/>
        <w:jc w:val="both"/>
        <w:rPr>
          <w:color w:val="222222"/>
          <w:sz w:val="24"/>
          <w:szCs w:val="24"/>
        </w:rPr>
      </w:pPr>
    </w:p>
    <w:p w14:paraId="26E708BE" w14:textId="77777777" w:rsidR="00EF60A5" w:rsidRDefault="00000000">
      <w:pPr>
        <w:spacing w:line="480" w:lineRule="auto"/>
        <w:ind w:firstLine="720"/>
        <w:jc w:val="both"/>
        <w:rPr>
          <w:color w:val="222222"/>
          <w:sz w:val="24"/>
          <w:szCs w:val="24"/>
        </w:rPr>
      </w:pPr>
      <w:r>
        <w:rPr>
          <w:color w:val="222222"/>
          <w:sz w:val="24"/>
          <w:szCs w:val="24"/>
        </w:rPr>
        <w:lastRenderedPageBreak/>
        <w:t>Following the declaration of a ceasefire in Gaza, Egypt has become a crucial transit and refuge point for survivors of the genocide. Yet there remains no comprehensive service framework ensuring these women’s safety, dignity, or access to justice.</w:t>
      </w:r>
    </w:p>
    <w:p w14:paraId="0847182D" w14:textId="77777777" w:rsidR="00EF60A5" w:rsidRDefault="00EF60A5">
      <w:pPr>
        <w:spacing w:line="480" w:lineRule="auto"/>
        <w:ind w:firstLine="720"/>
        <w:jc w:val="both"/>
        <w:rPr>
          <w:color w:val="222222"/>
          <w:sz w:val="24"/>
          <w:szCs w:val="24"/>
        </w:rPr>
      </w:pPr>
    </w:p>
    <w:p w14:paraId="2A771DD6" w14:textId="77777777" w:rsidR="00EF60A5" w:rsidRDefault="00000000">
      <w:pPr>
        <w:spacing w:line="480" w:lineRule="auto"/>
        <w:ind w:firstLine="720"/>
        <w:jc w:val="both"/>
        <w:rPr>
          <w:color w:val="222222"/>
          <w:sz w:val="24"/>
          <w:szCs w:val="24"/>
        </w:rPr>
      </w:pPr>
      <w:r>
        <w:rPr>
          <w:color w:val="222222"/>
          <w:sz w:val="24"/>
          <w:szCs w:val="24"/>
        </w:rPr>
        <w:t>The situation in Syria also remains emblematic of complex, overlapping crises, combining authoritarian rule, external interventions under the banner of “transitional justice,” and fragmented accountability mechanisms.</w:t>
      </w:r>
    </w:p>
    <w:p w14:paraId="36C06A04" w14:textId="77777777" w:rsidR="00EF60A5" w:rsidRDefault="00000000">
      <w:pPr>
        <w:spacing w:line="480" w:lineRule="auto"/>
        <w:ind w:firstLine="720"/>
        <w:jc w:val="both"/>
        <w:rPr>
          <w:color w:val="222222"/>
          <w:sz w:val="24"/>
          <w:szCs w:val="24"/>
        </w:rPr>
      </w:pPr>
      <w:r>
        <w:rPr>
          <w:color w:val="222222"/>
          <w:sz w:val="24"/>
          <w:szCs w:val="24"/>
        </w:rPr>
        <w:t>Current reconciliation and reparations processes fail to address the lived experiences of women survivors of detention, torture, and displacement.</w:t>
      </w:r>
    </w:p>
    <w:p w14:paraId="0EAFFC0A" w14:textId="77777777" w:rsidR="00EF60A5" w:rsidRDefault="00000000">
      <w:pPr>
        <w:spacing w:line="480" w:lineRule="auto"/>
        <w:ind w:firstLine="720"/>
        <w:jc w:val="both"/>
        <w:rPr>
          <w:color w:val="222222"/>
          <w:sz w:val="24"/>
          <w:szCs w:val="24"/>
        </w:rPr>
      </w:pPr>
      <w:r>
        <w:rPr>
          <w:color w:val="222222"/>
          <w:sz w:val="24"/>
          <w:szCs w:val="24"/>
        </w:rPr>
        <w:t>Feminist organizations emphasize that genuine transitional justice in Syria must be grounded in local contexts and community-led documentation, rejecting neo-colonial frameworks that limit justice to civil and political violations while overlooking the socio-economic realities of affected populations.</w:t>
      </w:r>
    </w:p>
    <w:p w14:paraId="1064C448" w14:textId="77777777" w:rsidR="00EF60A5" w:rsidRDefault="00EF60A5">
      <w:pPr>
        <w:spacing w:line="480" w:lineRule="auto"/>
        <w:ind w:firstLine="720"/>
        <w:jc w:val="both"/>
        <w:rPr>
          <w:color w:val="222222"/>
          <w:sz w:val="24"/>
          <w:szCs w:val="24"/>
        </w:rPr>
      </w:pPr>
    </w:p>
    <w:p w14:paraId="04CABDED" w14:textId="77777777" w:rsidR="00EF60A5" w:rsidRDefault="00000000">
      <w:pPr>
        <w:spacing w:line="480" w:lineRule="auto"/>
        <w:ind w:firstLine="720"/>
        <w:jc w:val="both"/>
        <w:rPr>
          <w:b/>
          <w:color w:val="222222"/>
          <w:sz w:val="24"/>
          <w:szCs w:val="24"/>
        </w:rPr>
      </w:pPr>
      <w:r>
        <w:rPr>
          <w:b/>
          <w:color w:val="222222"/>
          <w:sz w:val="24"/>
          <w:szCs w:val="24"/>
        </w:rPr>
        <w:t>Feminist Justice: Beyond Punishment</w:t>
      </w:r>
    </w:p>
    <w:p w14:paraId="70E4D050" w14:textId="77777777" w:rsidR="00EF60A5" w:rsidRDefault="00EF60A5">
      <w:pPr>
        <w:spacing w:line="480" w:lineRule="auto"/>
        <w:ind w:firstLine="720"/>
        <w:jc w:val="both"/>
        <w:rPr>
          <w:color w:val="222222"/>
          <w:sz w:val="24"/>
          <w:szCs w:val="24"/>
        </w:rPr>
      </w:pPr>
    </w:p>
    <w:p w14:paraId="15187524" w14:textId="77777777" w:rsidR="00EF60A5" w:rsidRDefault="00000000">
      <w:pPr>
        <w:spacing w:line="480" w:lineRule="auto"/>
        <w:ind w:firstLine="720"/>
        <w:jc w:val="both"/>
        <w:rPr>
          <w:color w:val="222222"/>
          <w:sz w:val="24"/>
          <w:szCs w:val="24"/>
        </w:rPr>
      </w:pPr>
      <w:r>
        <w:rPr>
          <w:color w:val="222222"/>
          <w:sz w:val="24"/>
          <w:szCs w:val="24"/>
        </w:rPr>
        <w:t>Feminist justice is not confined to punitive accountability; it is a comprehensive process that seeks recognition, redress, and transformation. It acknowledges the deep intersection of gender with social, economic, and political inequalities that perpetuate violence and discrimination against women.</w:t>
      </w:r>
    </w:p>
    <w:p w14:paraId="6652A517" w14:textId="77777777" w:rsidR="00EF60A5" w:rsidRDefault="00EF60A5">
      <w:pPr>
        <w:spacing w:line="480" w:lineRule="auto"/>
        <w:ind w:firstLine="720"/>
        <w:jc w:val="both"/>
        <w:rPr>
          <w:color w:val="222222"/>
          <w:sz w:val="24"/>
          <w:szCs w:val="24"/>
        </w:rPr>
      </w:pPr>
    </w:p>
    <w:p w14:paraId="0B945A58" w14:textId="77777777" w:rsidR="00EF60A5" w:rsidRDefault="00000000">
      <w:pPr>
        <w:spacing w:line="480" w:lineRule="auto"/>
        <w:ind w:firstLine="720"/>
        <w:jc w:val="both"/>
        <w:rPr>
          <w:color w:val="222222"/>
          <w:sz w:val="24"/>
          <w:szCs w:val="24"/>
        </w:rPr>
      </w:pPr>
      <w:r>
        <w:rPr>
          <w:color w:val="222222"/>
          <w:sz w:val="24"/>
          <w:szCs w:val="24"/>
        </w:rPr>
        <w:lastRenderedPageBreak/>
        <w:t>Feminist justice connects four interdependent dimensions: criminal accountability, social and economic justice, political inclusion, and reparative justice.</w:t>
      </w:r>
    </w:p>
    <w:p w14:paraId="555AA687" w14:textId="77777777" w:rsidR="00EF60A5" w:rsidRDefault="00000000">
      <w:pPr>
        <w:spacing w:line="480" w:lineRule="auto"/>
        <w:ind w:firstLine="720"/>
        <w:jc w:val="both"/>
        <w:rPr>
          <w:color w:val="222222"/>
          <w:sz w:val="24"/>
          <w:szCs w:val="24"/>
        </w:rPr>
      </w:pPr>
      <w:r>
        <w:rPr>
          <w:color w:val="222222"/>
          <w:sz w:val="24"/>
          <w:szCs w:val="24"/>
        </w:rPr>
        <w:t>Criminal accountability requires clear and effective legal mechanisms to prosecute perpetrators of violence, locally or internationally, ensuring no impunity. It also demands that women participate meaningfully in all stages of investigation and trial, their voices and experiences central to the process.</w:t>
      </w:r>
    </w:p>
    <w:p w14:paraId="11B36A9A" w14:textId="77777777" w:rsidR="00EF60A5" w:rsidRDefault="00EF60A5">
      <w:pPr>
        <w:spacing w:line="480" w:lineRule="auto"/>
        <w:ind w:firstLine="720"/>
        <w:jc w:val="both"/>
        <w:rPr>
          <w:color w:val="222222"/>
          <w:sz w:val="24"/>
          <w:szCs w:val="24"/>
        </w:rPr>
      </w:pPr>
    </w:p>
    <w:p w14:paraId="2B0D5C74" w14:textId="77777777" w:rsidR="00EF60A5" w:rsidRDefault="00000000">
      <w:pPr>
        <w:spacing w:line="480" w:lineRule="auto"/>
        <w:ind w:firstLine="720"/>
        <w:jc w:val="both"/>
        <w:rPr>
          <w:color w:val="222222"/>
          <w:sz w:val="24"/>
          <w:szCs w:val="24"/>
        </w:rPr>
      </w:pPr>
      <w:r>
        <w:rPr>
          <w:color w:val="222222"/>
          <w:sz w:val="24"/>
          <w:szCs w:val="24"/>
        </w:rPr>
        <w:t>True feminist justice must also confront structural barriers that limit women’s access to public life and decision-making. This includes ensuring economic empowerment, political participation, and recognition of the material and psychological losses caused by gender-based violence through holistic compensation and reintegration programs.</w:t>
      </w:r>
    </w:p>
    <w:p w14:paraId="3AA0A50F" w14:textId="77777777" w:rsidR="00EF60A5" w:rsidRDefault="00EF60A5">
      <w:pPr>
        <w:spacing w:line="480" w:lineRule="auto"/>
        <w:ind w:firstLine="720"/>
        <w:jc w:val="both"/>
        <w:rPr>
          <w:color w:val="222222"/>
          <w:sz w:val="24"/>
          <w:szCs w:val="24"/>
        </w:rPr>
      </w:pPr>
    </w:p>
    <w:p w14:paraId="3FE8FEE6" w14:textId="77777777" w:rsidR="00EF60A5" w:rsidRDefault="00000000">
      <w:pPr>
        <w:spacing w:line="480" w:lineRule="auto"/>
        <w:ind w:firstLine="720"/>
        <w:jc w:val="both"/>
        <w:rPr>
          <w:b/>
          <w:color w:val="222222"/>
          <w:sz w:val="24"/>
          <w:szCs w:val="24"/>
        </w:rPr>
      </w:pPr>
      <w:r>
        <w:rPr>
          <w:b/>
          <w:color w:val="222222"/>
          <w:sz w:val="24"/>
          <w:szCs w:val="24"/>
        </w:rPr>
        <w:t>Recommendations</w:t>
      </w:r>
    </w:p>
    <w:p w14:paraId="68879E36" w14:textId="77777777" w:rsidR="00EF60A5" w:rsidRDefault="00EF60A5">
      <w:pPr>
        <w:spacing w:line="480" w:lineRule="auto"/>
        <w:ind w:firstLine="720"/>
        <w:jc w:val="both"/>
        <w:rPr>
          <w:color w:val="222222"/>
          <w:sz w:val="24"/>
          <w:szCs w:val="24"/>
        </w:rPr>
      </w:pPr>
    </w:p>
    <w:p w14:paraId="35CD6398" w14:textId="77777777" w:rsidR="00EF60A5" w:rsidRDefault="00000000">
      <w:pPr>
        <w:spacing w:line="480" w:lineRule="auto"/>
        <w:ind w:firstLine="720"/>
        <w:jc w:val="both"/>
        <w:rPr>
          <w:color w:val="222222"/>
          <w:sz w:val="24"/>
          <w:szCs w:val="24"/>
        </w:rPr>
      </w:pPr>
      <w:r>
        <w:rPr>
          <w:color w:val="222222"/>
          <w:sz w:val="24"/>
          <w:szCs w:val="24"/>
        </w:rPr>
        <w:t>In light of escalating threats to women’s and girls’ right to access justice, particularly gender justice, the undersigned organizations emphasize the following priorities and recommendations:</w:t>
      </w:r>
    </w:p>
    <w:p w14:paraId="2372A03A" w14:textId="77777777" w:rsidR="00EF60A5" w:rsidRDefault="00EF60A5">
      <w:pPr>
        <w:spacing w:line="480" w:lineRule="auto"/>
        <w:ind w:firstLine="720"/>
        <w:jc w:val="both"/>
        <w:rPr>
          <w:color w:val="222222"/>
          <w:sz w:val="24"/>
          <w:szCs w:val="24"/>
        </w:rPr>
      </w:pPr>
    </w:p>
    <w:p w14:paraId="7F799B05" w14:textId="77777777" w:rsidR="00EF60A5" w:rsidRDefault="00000000">
      <w:pPr>
        <w:spacing w:line="480" w:lineRule="auto"/>
        <w:ind w:firstLine="720"/>
        <w:jc w:val="both"/>
        <w:rPr>
          <w:color w:val="222222"/>
          <w:sz w:val="24"/>
          <w:szCs w:val="24"/>
        </w:rPr>
      </w:pPr>
      <w:r>
        <w:rPr>
          <w:color w:val="222222"/>
          <w:sz w:val="24"/>
          <w:szCs w:val="24"/>
        </w:rPr>
        <w:t>1. Establish concrete guarantees and standards for meaningful social dialogue between state institutions and feminist movements concerning legislative protection and public policies addressing violence against women and girls in both public and private spheres.</w:t>
      </w:r>
    </w:p>
    <w:p w14:paraId="773D19BB" w14:textId="77777777" w:rsidR="00EF60A5" w:rsidRDefault="00EF60A5">
      <w:pPr>
        <w:spacing w:line="480" w:lineRule="auto"/>
        <w:ind w:firstLine="720"/>
        <w:jc w:val="both"/>
        <w:rPr>
          <w:color w:val="222222"/>
          <w:sz w:val="24"/>
          <w:szCs w:val="24"/>
        </w:rPr>
      </w:pPr>
    </w:p>
    <w:p w14:paraId="7E111224" w14:textId="77777777" w:rsidR="00EF60A5" w:rsidRDefault="00000000">
      <w:pPr>
        <w:spacing w:line="480" w:lineRule="auto"/>
        <w:ind w:firstLine="720"/>
        <w:jc w:val="both"/>
        <w:rPr>
          <w:color w:val="222222"/>
          <w:sz w:val="24"/>
          <w:szCs w:val="24"/>
        </w:rPr>
      </w:pPr>
      <w:r>
        <w:rPr>
          <w:color w:val="222222"/>
          <w:sz w:val="24"/>
          <w:szCs w:val="24"/>
        </w:rPr>
        <w:lastRenderedPageBreak/>
        <w:t>2. End the repeated engineering of legislative authority and ensure its independence, while protecting freedom of association and the operation of independent civil society groups, to enable genuine collaboration toward equitable access to justice.</w:t>
      </w:r>
    </w:p>
    <w:p w14:paraId="6FF1EEFA" w14:textId="77777777" w:rsidR="00EF60A5" w:rsidRDefault="00EF60A5">
      <w:pPr>
        <w:spacing w:line="480" w:lineRule="auto"/>
        <w:ind w:firstLine="720"/>
        <w:jc w:val="both"/>
        <w:rPr>
          <w:color w:val="222222"/>
          <w:sz w:val="24"/>
          <w:szCs w:val="24"/>
        </w:rPr>
      </w:pPr>
    </w:p>
    <w:p w14:paraId="2F69EF6C" w14:textId="77777777" w:rsidR="00EF60A5" w:rsidRDefault="00000000">
      <w:pPr>
        <w:spacing w:line="480" w:lineRule="auto"/>
        <w:ind w:firstLine="720"/>
        <w:jc w:val="both"/>
        <w:rPr>
          <w:color w:val="222222"/>
          <w:sz w:val="24"/>
          <w:szCs w:val="24"/>
        </w:rPr>
      </w:pPr>
      <w:r>
        <w:rPr>
          <w:color w:val="222222"/>
          <w:sz w:val="24"/>
          <w:szCs w:val="24"/>
        </w:rPr>
        <w:t>3. Reform emergency and crisis-response policies to reflect the growing militarization and armed conflicts in the region.</w:t>
      </w:r>
    </w:p>
    <w:p w14:paraId="0E12CCCB" w14:textId="77777777" w:rsidR="00EF60A5" w:rsidRDefault="00EF60A5">
      <w:pPr>
        <w:spacing w:line="480" w:lineRule="auto"/>
        <w:ind w:firstLine="720"/>
        <w:jc w:val="both"/>
        <w:rPr>
          <w:color w:val="222222"/>
          <w:sz w:val="24"/>
          <w:szCs w:val="24"/>
        </w:rPr>
      </w:pPr>
    </w:p>
    <w:p w14:paraId="024730F6" w14:textId="77777777" w:rsidR="00EF60A5" w:rsidRDefault="00000000">
      <w:pPr>
        <w:spacing w:line="480" w:lineRule="auto"/>
        <w:ind w:firstLine="720"/>
        <w:jc w:val="both"/>
        <w:rPr>
          <w:color w:val="222222"/>
          <w:sz w:val="24"/>
          <w:szCs w:val="24"/>
        </w:rPr>
      </w:pPr>
      <w:r>
        <w:rPr>
          <w:color w:val="222222"/>
          <w:sz w:val="24"/>
          <w:szCs w:val="24"/>
        </w:rPr>
        <w:t>4. End colonial domination and press for a permanent ceasefire, ensuring the protection of all Indigenous populations, women, men, and children alike.</w:t>
      </w:r>
    </w:p>
    <w:p w14:paraId="002DFD1A" w14:textId="77777777" w:rsidR="00EF60A5" w:rsidRDefault="00EF60A5">
      <w:pPr>
        <w:spacing w:line="480" w:lineRule="auto"/>
        <w:ind w:firstLine="720"/>
        <w:jc w:val="both"/>
        <w:rPr>
          <w:color w:val="222222"/>
          <w:sz w:val="24"/>
          <w:szCs w:val="24"/>
        </w:rPr>
      </w:pPr>
    </w:p>
    <w:p w14:paraId="7F53769B" w14:textId="77777777" w:rsidR="00EF60A5" w:rsidRDefault="00000000">
      <w:pPr>
        <w:spacing w:line="480" w:lineRule="auto"/>
        <w:ind w:firstLine="720"/>
        <w:jc w:val="both"/>
        <w:rPr>
          <w:b/>
          <w:color w:val="222222"/>
          <w:sz w:val="24"/>
          <w:szCs w:val="24"/>
        </w:rPr>
      </w:pPr>
      <w:r>
        <w:rPr>
          <w:color w:val="222222"/>
          <w:sz w:val="24"/>
          <w:szCs w:val="24"/>
        </w:rPr>
        <w:t>5. Recognize gender-based violence as both a war crime and a crime against humanity.</w:t>
      </w:r>
    </w:p>
    <w:p w14:paraId="3FFA16EF" w14:textId="77777777" w:rsidR="00EF60A5" w:rsidRDefault="00EF60A5">
      <w:pPr>
        <w:pBdr>
          <w:top w:val="nil"/>
          <w:left w:val="nil"/>
          <w:bottom w:val="nil"/>
          <w:right w:val="nil"/>
          <w:between w:val="nil"/>
        </w:pBdr>
        <w:spacing w:line="480" w:lineRule="auto"/>
        <w:ind w:firstLine="720"/>
        <w:jc w:val="both"/>
        <w:rPr>
          <w:sz w:val="24"/>
          <w:szCs w:val="24"/>
        </w:rPr>
      </w:pPr>
    </w:p>
    <w:p w14:paraId="784E976D" w14:textId="77777777" w:rsidR="00EF60A5" w:rsidRDefault="00EF60A5">
      <w:pPr>
        <w:pBdr>
          <w:top w:val="nil"/>
          <w:left w:val="nil"/>
          <w:bottom w:val="nil"/>
          <w:right w:val="nil"/>
          <w:between w:val="nil"/>
        </w:pBdr>
        <w:spacing w:line="480" w:lineRule="auto"/>
        <w:ind w:firstLine="720"/>
        <w:jc w:val="both"/>
        <w:rPr>
          <w:color w:val="000000"/>
          <w:sz w:val="24"/>
          <w:szCs w:val="24"/>
        </w:rPr>
      </w:pPr>
    </w:p>
    <w:sectPr w:rsidR="00EF60A5">
      <w:headerReference w:type="even" r:id="rId7"/>
      <w:headerReference w:type="default" r:id="rId8"/>
      <w:footerReference w:type="even" r:id="rId9"/>
      <w:footerReference w:type="default" r:id="rId10"/>
      <w:headerReference w:type="first" r:id="rId11"/>
      <w:pgSz w:w="12240" w:h="15840"/>
      <w:pgMar w:top="1728" w:right="1296" w:bottom="1728"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64E3" w14:textId="77777777" w:rsidR="002713F4" w:rsidRDefault="002713F4">
      <w:r>
        <w:separator/>
      </w:r>
    </w:p>
  </w:endnote>
  <w:endnote w:type="continuationSeparator" w:id="0">
    <w:p w14:paraId="533CFADD" w14:textId="77777777" w:rsidR="002713F4" w:rsidRDefault="0027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AE73" w14:textId="77777777" w:rsidR="00EF60A5" w:rsidRDefault="00000000">
    <w:pPr>
      <w:pBdr>
        <w:top w:val="nil"/>
        <w:left w:val="nil"/>
        <w:bottom w:val="nil"/>
        <w:right w:val="nil"/>
        <w:between w:val="nil"/>
      </w:pBdr>
      <w:tabs>
        <w:tab w:val="center" w:pos="4680"/>
        <w:tab w:val="right" w:pos="9360"/>
      </w:tabs>
      <w:rPr>
        <w:b/>
        <w:color w:val="000000"/>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A503E4">
      <w:rPr>
        <w:b/>
        <w:noProof/>
        <w:color w:val="000000"/>
        <w:sz w:val="16"/>
        <w:szCs w:val="16"/>
      </w:rPr>
      <w:t>2</w:t>
    </w:r>
    <w:r>
      <w:rPr>
        <w:b/>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5891" w14:textId="740DAD22" w:rsidR="00EF60A5" w:rsidRDefault="0000000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A503E4">
      <w:rPr>
        <w:noProof/>
        <w:color w:val="000000"/>
        <w:sz w:val="16"/>
        <w:szCs w:val="16"/>
      </w:rPr>
      <w:t>3</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9849" w14:textId="77777777" w:rsidR="002713F4" w:rsidRDefault="002713F4">
      <w:r>
        <w:separator/>
      </w:r>
    </w:p>
  </w:footnote>
  <w:footnote w:type="continuationSeparator" w:id="0">
    <w:p w14:paraId="67897F83" w14:textId="77777777" w:rsidR="002713F4" w:rsidRDefault="0027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4C3B" w14:textId="77777777" w:rsidR="00EF60A5" w:rsidRDefault="00EF60A5">
    <w:pPr>
      <w:widowControl w:val="0"/>
      <w:pBdr>
        <w:top w:val="nil"/>
        <w:left w:val="nil"/>
        <w:bottom w:val="nil"/>
        <w:right w:val="nil"/>
        <w:between w:val="nil"/>
      </w:pBdr>
      <w:spacing w:line="276" w:lineRule="auto"/>
      <w:rPr>
        <w:color w:val="000000"/>
        <w:sz w:val="24"/>
        <w:szCs w:val="24"/>
      </w:rPr>
    </w:pPr>
  </w:p>
  <w:tbl>
    <w:tblPr>
      <w:tblStyle w:val="a"/>
      <w:tblW w:w="9871" w:type="dxa"/>
      <w:tblBorders>
        <w:bottom w:val="single" w:sz="4" w:space="0" w:color="000000"/>
      </w:tblBorders>
      <w:tblLayout w:type="fixed"/>
      <w:tblLook w:val="0000" w:firstRow="0" w:lastRow="0" w:firstColumn="0" w:lastColumn="0" w:noHBand="0" w:noVBand="0"/>
    </w:tblPr>
    <w:tblGrid>
      <w:gridCol w:w="4838"/>
      <w:gridCol w:w="5033"/>
    </w:tblGrid>
    <w:tr w:rsidR="00EF60A5" w14:paraId="756E9B46" w14:textId="77777777">
      <w:trPr>
        <w:trHeight w:val="864"/>
      </w:trPr>
      <w:tc>
        <w:tcPr>
          <w:tcW w:w="4838" w:type="dxa"/>
          <w:vAlign w:val="bottom"/>
        </w:tcPr>
        <w:p w14:paraId="456335AC" w14:textId="77777777" w:rsidR="00EF60A5" w:rsidRDefault="00000000">
          <w:pPr>
            <w:pBdr>
              <w:top w:val="nil"/>
              <w:left w:val="nil"/>
              <w:bottom w:val="nil"/>
              <w:right w:val="nil"/>
              <w:between w:val="nil"/>
            </w:pBdr>
            <w:tabs>
              <w:tab w:val="center" w:pos="4680"/>
              <w:tab w:val="right" w:pos="9360"/>
            </w:tabs>
            <w:spacing w:after="80"/>
            <w:rPr>
              <w:b/>
              <w:color w:val="000000"/>
              <w:sz w:val="16"/>
              <w:szCs w:val="16"/>
            </w:rPr>
          </w:pPr>
          <w:r>
            <w:rPr>
              <w:b/>
              <w:color w:val="000000"/>
              <w:sz w:val="16"/>
              <w:szCs w:val="16"/>
            </w:rPr>
            <w:t>E/CN.6/2026/NGO/XX</w:t>
          </w:r>
        </w:p>
      </w:tc>
      <w:tc>
        <w:tcPr>
          <w:tcW w:w="5033" w:type="dxa"/>
          <w:vAlign w:val="bottom"/>
        </w:tcPr>
        <w:p w14:paraId="0A0ED0D8" w14:textId="77777777" w:rsidR="00EF60A5" w:rsidRDefault="00EF60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tc>
    </w:tr>
  </w:tbl>
  <w:p w14:paraId="2F47BE19" w14:textId="77777777" w:rsidR="00EF60A5" w:rsidRDefault="00EF60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327" w14:textId="77777777" w:rsidR="00EF60A5" w:rsidRDefault="00EF60A5">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0"/>
      <w:tblW w:w="9871" w:type="dxa"/>
      <w:tblBorders>
        <w:bottom w:val="single" w:sz="4" w:space="0" w:color="000000"/>
      </w:tblBorders>
      <w:tblLayout w:type="fixed"/>
      <w:tblLook w:val="0000" w:firstRow="0" w:lastRow="0" w:firstColumn="0" w:lastColumn="0" w:noHBand="0" w:noVBand="0"/>
    </w:tblPr>
    <w:tblGrid>
      <w:gridCol w:w="4838"/>
      <w:gridCol w:w="5033"/>
    </w:tblGrid>
    <w:tr w:rsidR="00EF60A5" w14:paraId="3E598280" w14:textId="77777777">
      <w:trPr>
        <w:trHeight w:val="864"/>
      </w:trPr>
      <w:tc>
        <w:tcPr>
          <w:tcW w:w="4838" w:type="dxa"/>
          <w:vAlign w:val="bottom"/>
        </w:tcPr>
        <w:p w14:paraId="0A6A6D52" w14:textId="77777777" w:rsidR="00EF60A5" w:rsidRDefault="00EF60A5">
          <w:pPr>
            <w:pBdr>
              <w:top w:val="nil"/>
              <w:left w:val="nil"/>
              <w:bottom w:val="nil"/>
              <w:right w:val="nil"/>
              <w:between w:val="nil"/>
            </w:pBdr>
            <w:tabs>
              <w:tab w:val="center" w:pos="4680"/>
              <w:tab w:val="right" w:pos="9360"/>
            </w:tabs>
            <w:rPr>
              <w:color w:val="000000"/>
              <w:sz w:val="16"/>
              <w:szCs w:val="16"/>
            </w:rPr>
          </w:pPr>
        </w:p>
      </w:tc>
      <w:tc>
        <w:tcPr>
          <w:tcW w:w="5033" w:type="dxa"/>
          <w:vAlign w:val="bottom"/>
        </w:tcPr>
        <w:p w14:paraId="2FF0A793" w14:textId="77777777" w:rsidR="00EF60A5" w:rsidRDefault="00000000">
          <w:pPr>
            <w:pBdr>
              <w:top w:val="nil"/>
              <w:left w:val="nil"/>
              <w:bottom w:val="nil"/>
              <w:right w:val="nil"/>
              <w:between w:val="nil"/>
            </w:pBdr>
            <w:tabs>
              <w:tab w:val="center" w:pos="4680"/>
              <w:tab w:val="right" w:pos="9360"/>
            </w:tabs>
            <w:spacing w:after="80"/>
            <w:jc w:val="right"/>
            <w:rPr>
              <w:b/>
              <w:color w:val="000000"/>
              <w:sz w:val="16"/>
              <w:szCs w:val="16"/>
            </w:rPr>
          </w:pPr>
          <w:r>
            <w:rPr>
              <w:b/>
              <w:color w:val="000000"/>
              <w:sz w:val="16"/>
              <w:szCs w:val="16"/>
            </w:rPr>
            <w:t>E/CN.6/2026/NGO/XX</w:t>
          </w:r>
        </w:p>
      </w:tc>
    </w:tr>
  </w:tbl>
  <w:p w14:paraId="0AF04903" w14:textId="77777777" w:rsidR="00EF60A5" w:rsidRDefault="00EF60A5">
    <w:pPr>
      <w:pBdr>
        <w:top w:val="nil"/>
        <w:left w:val="nil"/>
        <w:bottom w:val="nil"/>
        <w:right w:val="nil"/>
        <w:between w:val="nil"/>
      </w:pBdr>
      <w:tabs>
        <w:tab w:val="center" w:pos="4680"/>
        <w:tab w:val="right" w:pos="9360"/>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007E" w14:textId="77777777" w:rsidR="00EF60A5" w:rsidRDefault="00EF60A5">
    <w:pPr>
      <w:widowControl w:val="0"/>
      <w:pBdr>
        <w:top w:val="nil"/>
        <w:left w:val="nil"/>
        <w:bottom w:val="nil"/>
        <w:right w:val="nil"/>
        <w:between w:val="nil"/>
      </w:pBdr>
      <w:spacing w:line="276" w:lineRule="auto"/>
      <w:rPr>
        <w:color w:val="000000"/>
        <w:sz w:val="16"/>
        <w:szCs w:val="16"/>
      </w:rPr>
    </w:pPr>
  </w:p>
  <w:tbl>
    <w:tblPr>
      <w:tblStyle w:val="a1"/>
      <w:tblW w:w="9907" w:type="dxa"/>
      <w:tblLayout w:type="fixed"/>
      <w:tblLook w:val="0000" w:firstRow="0" w:lastRow="0" w:firstColumn="0" w:lastColumn="0" w:noHBand="0" w:noVBand="0"/>
    </w:tblPr>
    <w:tblGrid>
      <w:gridCol w:w="1267"/>
      <w:gridCol w:w="1872"/>
      <w:gridCol w:w="245"/>
      <w:gridCol w:w="3110"/>
      <w:gridCol w:w="245"/>
      <w:gridCol w:w="3140"/>
      <w:gridCol w:w="28"/>
    </w:tblGrid>
    <w:tr w:rsidR="00EF60A5" w14:paraId="7880F429" w14:textId="77777777">
      <w:trPr>
        <w:trHeight w:val="864"/>
      </w:trPr>
      <w:tc>
        <w:tcPr>
          <w:tcW w:w="1267" w:type="dxa"/>
          <w:tcBorders>
            <w:bottom w:val="single" w:sz="4" w:space="0" w:color="000000"/>
          </w:tcBorders>
          <w:vAlign w:val="bottom"/>
        </w:tcPr>
        <w:p w14:paraId="171195B4" w14:textId="77777777" w:rsidR="00EF60A5" w:rsidRDefault="00EF60A5">
          <w:pPr>
            <w:tabs>
              <w:tab w:val="center" w:pos="4320"/>
              <w:tab w:val="right" w:pos="8640"/>
            </w:tabs>
            <w:spacing w:after="120"/>
            <w:rPr>
              <w:sz w:val="17"/>
              <w:szCs w:val="17"/>
            </w:rPr>
          </w:pPr>
        </w:p>
      </w:tc>
      <w:tc>
        <w:tcPr>
          <w:tcW w:w="1872" w:type="dxa"/>
          <w:tcBorders>
            <w:bottom w:val="single" w:sz="4" w:space="0" w:color="000000"/>
          </w:tcBorders>
          <w:vAlign w:val="bottom"/>
        </w:tcPr>
        <w:p w14:paraId="18A8C926" w14:textId="77777777" w:rsidR="00EF60A5" w:rsidRDefault="00000000">
          <w:pPr>
            <w:keepNext/>
            <w:keepLines/>
            <w:spacing w:after="80" w:line="300" w:lineRule="auto"/>
            <w:rPr>
              <w:sz w:val="28"/>
              <w:szCs w:val="28"/>
            </w:rPr>
          </w:pPr>
          <w:r>
            <w:rPr>
              <w:sz w:val="28"/>
              <w:szCs w:val="28"/>
            </w:rPr>
            <w:t>United Nations</w:t>
          </w:r>
        </w:p>
      </w:tc>
      <w:tc>
        <w:tcPr>
          <w:tcW w:w="245" w:type="dxa"/>
          <w:tcBorders>
            <w:bottom w:val="single" w:sz="4" w:space="0" w:color="000000"/>
          </w:tcBorders>
          <w:vAlign w:val="bottom"/>
        </w:tcPr>
        <w:p w14:paraId="1E397778" w14:textId="77777777" w:rsidR="00EF60A5" w:rsidRDefault="00EF60A5">
          <w:pPr>
            <w:tabs>
              <w:tab w:val="center" w:pos="4320"/>
              <w:tab w:val="right" w:pos="8640"/>
            </w:tabs>
            <w:spacing w:after="120"/>
            <w:rPr>
              <w:sz w:val="17"/>
              <w:szCs w:val="17"/>
            </w:rPr>
          </w:pPr>
        </w:p>
      </w:tc>
      <w:tc>
        <w:tcPr>
          <w:tcW w:w="6523" w:type="dxa"/>
          <w:gridSpan w:val="4"/>
          <w:tcBorders>
            <w:bottom w:val="single" w:sz="4" w:space="0" w:color="000000"/>
          </w:tcBorders>
          <w:vAlign w:val="bottom"/>
        </w:tcPr>
        <w:p w14:paraId="1DA90712" w14:textId="77777777" w:rsidR="00EF60A5" w:rsidRDefault="00000000">
          <w:pPr>
            <w:spacing w:after="80"/>
            <w:jc w:val="right"/>
          </w:pPr>
          <w:r>
            <w:rPr>
              <w:sz w:val="40"/>
              <w:szCs w:val="40"/>
            </w:rPr>
            <w:t>E</w:t>
          </w:r>
          <w:r>
            <w:t>/CN.6/2026/NGO/XX</w:t>
          </w:r>
        </w:p>
      </w:tc>
    </w:tr>
    <w:tr w:rsidR="00EF60A5" w14:paraId="7869EFAB" w14:textId="77777777">
      <w:trPr>
        <w:gridAfter w:val="1"/>
        <w:trHeight w:val="2880"/>
      </w:trPr>
      <w:tc>
        <w:tcPr>
          <w:tcW w:w="1267" w:type="dxa"/>
          <w:tcBorders>
            <w:top w:val="single" w:sz="4" w:space="0" w:color="000000"/>
            <w:bottom w:val="single" w:sz="12" w:space="0" w:color="000000"/>
          </w:tcBorders>
        </w:tcPr>
        <w:p w14:paraId="0623B2B2" w14:textId="77777777" w:rsidR="00EF60A5" w:rsidRDefault="00000000">
          <w:pPr>
            <w:tabs>
              <w:tab w:val="center" w:pos="4320"/>
              <w:tab w:val="right" w:pos="8640"/>
            </w:tabs>
            <w:spacing w:before="109"/>
            <w:rPr>
              <w:sz w:val="17"/>
              <w:szCs w:val="17"/>
            </w:rPr>
          </w:pPr>
          <w:r>
            <w:rPr>
              <w:sz w:val="17"/>
              <w:szCs w:val="17"/>
            </w:rPr>
            <w:t xml:space="preserve"> </w:t>
          </w:r>
          <w:r>
            <w:rPr>
              <w:noProof/>
            </w:rPr>
            <w:drawing>
              <wp:inline distT="0" distB="0" distL="0" distR="0" wp14:anchorId="0D890F57" wp14:editId="5E1E3374">
                <wp:extent cx="713232" cy="597103"/>
                <wp:effectExtent l="0" t="0" r="0" b="0"/>
                <wp:docPr id="3048187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3232" cy="597103"/>
                        </a:xfrm>
                        <a:prstGeom prst="rect">
                          <a:avLst/>
                        </a:prstGeom>
                        <a:ln/>
                      </pic:spPr>
                    </pic:pic>
                  </a:graphicData>
                </a:graphic>
              </wp:inline>
            </w:drawing>
          </w:r>
        </w:p>
        <w:p w14:paraId="228B1C6D" w14:textId="77777777" w:rsidR="00EF60A5" w:rsidRDefault="00EF60A5">
          <w:pPr>
            <w:tabs>
              <w:tab w:val="center" w:pos="4320"/>
              <w:tab w:val="right" w:pos="8640"/>
            </w:tabs>
            <w:spacing w:before="109"/>
            <w:rPr>
              <w:sz w:val="17"/>
              <w:szCs w:val="17"/>
            </w:rPr>
          </w:pPr>
        </w:p>
      </w:tc>
      <w:tc>
        <w:tcPr>
          <w:tcW w:w="5227" w:type="dxa"/>
          <w:gridSpan w:val="3"/>
          <w:tcBorders>
            <w:top w:val="single" w:sz="4" w:space="0" w:color="000000"/>
            <w:bottom w:val="single" w:sz="12" w:space="0" w:color="000000"/>
          </w:tcBorders>
        </w:tcPr>
        <w:p w14:paraId="4DCE3932" w14:textId="77777777" w:rsidR="00EF60A5" w:rsidRDefault="0000000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auto"/>
            <w:rPr>
              <w:b/>
              <w:sz w:val="40"/>
              <w:szCs w:val="40"/>
            </w:rPr>
          </w:pPr>
          <w:r>
            <w:rPr>
              <w:b/>
              <w:sz w:val="40"/>
              <w:szCs w:val="40"/>
            </w:rPr>
            <w:t>Economic and Social Council</w:t>
          </w:r>
        </w:p>
      </w:tc>
      <w:tc>
        <w:tcPr>
          <w:tcW w:w="245" w:type="dxa"/>
          <w:tcBorders>
            <w:top w:val="single" w:sz="4" w:space="0" w:color="000000"/>
            <w:bottom w:val="single" w:sz="12" w:space="0" w:color="000000"/>
          </w:tcBorders>
        </w:tcPr>
        <w:p w14:paraId="7B750475" w14:textId="77777777" w:rsidR="00EF60A5" w:rsidRDefault="00EF60A5">
          <w:pPr>
            <w:tabs>
              <w:tab w:val="center" w:pos="4320"/>
              <w:tab w:val="right" w:pos="8640"/>
            </w:tabs>
            <w:spacing w:before="109"/>
            <w:rPr>
              <w:sz w:val="17"/>
              <w:szCs w:val="17"/>
            </w:rPr>
          </w:pPr>
        </w:p>
      </w:tc>
      <w:tc>
        <w:tcPr>
          <w:tcW w:w="3140" w:type="dxa"/>
          <w:tcBorders>
            <w:top w:val="single" w:sz="4" w:space="0" w:color="000000"/>
            <w:bottom w:val="single" w:sz="12" w:space="0" w:color="000000"/>
          </w:tcBorders>
        </w:tcPr>
        <w:p w14:paraId="5338FFC7" w14:textId="77777777" w:rsidR="00EF60A5" w:rsidRDefault="00000000">
          <w:pPr>
            <w:spacing w:before="240"/>
          </w:pPr>
          <w:r>
            <w:t>Distr.: General</w:t>
          </w:r>
        </w:p>
        <w:p w14:paraId="4CB9581F" w14:textId="77777777" w:rsidR="00EF60A5" w:rsidRDefault="00000000">
          <w:r>
            <w:t>December 2025</w:t>
          </w:r>
        </w:p>
        <w:p w14:paraId="7D768D80" w14:textId="77777777" w:rsidR="00EF60A5" w:rsidRDefault="00EF60A5"/>
        <w:p w14:paraId="481F6B73" w14:textId="77777777" w:rsidR="00EF60A5" w:rsidRDefault="00000000">
          <w:r>
            <w:t>Original: Language</w:t>
          </w:r>
        </w:p>
      </w:tc>
    </w:tr>
  </w:tbl>
  <w:p w14:paraId="131C6B9C" w14:textId="77777777" w:rsidR="00EF60A5" w:rsidRDefault="00EF60A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A5"/>
    <w:rsid w:val="002713F4"/>
    <w:rsid w:val="00A503E4"/>
    <w:rsid w:val="00EF60A5"/>
    <w:rsid w:val="00F222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6B71"/>
  <w15:docId w15:val="{1471F216-21D9-4231-8C5A-807BC7E2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17475"/>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17475"/>
  </w:style>
  <w:style w:type="paragraph" w:styleId="Footer">
    <w:name w:val="footer"/>
    <w:basedOn w:val="Normal"/>
    <w:link w:val="FooterChar"/>
    <w:uiPriority w:val="99"/>
    <w:unhideWhenUsed/>
    <w:rsid w:val="00917475"/>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17475"/>
  </w:style>
  <w:style w:type="paragraph" w:customStyle="1" w:styleId="H1">
    <w:name w:val="_ H_1"/>
    <w:basedOn w:val="Normal"/>
    <w:next w:val="SingleTxt"/>
    <w:rsid w:val="009174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917475"/>
    <w:pPr>
      <w:spacing w:line="300" w:lineRule="exact"/>
      <w:ind w:left="0" w:right="0" w:firstLine="0"/>
    </w:pPr>
    <w:rPr>
      <w:spacing w:val="-2"/>
      <w:sz w:val="28"/>
    </w:rPr>
  </w:style>
  <w:style w:type="paragraph" w:customStyle="1" w:styleId="H23">
    <w:name w:val="_ H_2/3"/>
    <w:basedOn w:val="H1"/>
    <w:next w:val="SingleTxt"/>
    <w:rsid w:val="00917475"/>
    <w:pPr>
      <w:spacing w:line="240" w:lineRule="exact"/>
      <w:outlineLvl w:val="1"/>
    </w:pPr>
    <w:rPr>
      <w:spacing w:val="2"/>
      <w:sz w:val="20"/>
    </w:rPr>
  </w:style>
  <w:style w:type="paragraph" w:customStyle="1" w:styleId="SingleTxt">
    <w:name w:val="__Single Txt"/>
    <w:basedOn w:val="Normal"/>
    <w:rsid w:val="009174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FootnoteReference">
    <w:name w:val="footnote reference"/>
    <w:semiHidden/>
    <w:rsid w:val="00917475"/>
    <w:rPr>
      <w:spacing w:val="-5"/>
      <w:w w:val="130"/>
      <w:position w:val="-4"/>
      <w:vertAlign w:val="superscript"/>
    </w:rPr>
  </w:style>
  <w:style w:type="paragraph" w:styleId="FootnoteText">
    <w:name w:val="footnote text"/>
    <w:basedOn w:val="Normal"/>
    <w:link w:val="FootnoteTextChar"/>
    <w:semiHidden/>
    <w:rsid w:val="00917475"/>
    <w:pPr>
      <w:widowControl w:val="0"/>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semiHidden/>
    <w:rsid w:val="00917475"/>
    <w:rPr>
      <w:rFonts w:ascii="Times New Roman" w:eastAsia="Times New Roman" w:hAnsi="Times New Roman" w:cs="Times New Roman"/>
      <w:spacing w:val="5"/>
      <w:w w:val="104"/>
      <w:kern w:val="14"/>
      <w:sz w:val="17"/>
      <w:szCs w:val="20"/>
      <w:lang w:val="en-GB"/>
    </w:rPr>
  </w:style>
  <w:style w:type="paragraph" w:customStyle="1" w:styleId="Style-StatementHeading">
    <w:name w:val="Style-StatementHeading"/>
    <w:basedOn w:val="Normal"/>
    <w:link w:val="Style-StatementHeadingChar"/>
    <w:qFormat/>
    <w:rsid w:val="0081103C"/>
    <w:pPr>
      <w:spacing w:before="600" w:after="600"/>
      <w:contextualSpacing/>
    </w:pPr>
    <w:rPr>
      <w:b/>
      <w:sz w:val="24"/>
    </w:rPr>
  </w:style>
  <w:style w:type="paragraph" w:customStyle="1" w:styleId="Style-Title">
    <w:name w:val="Style-Title"/>
    <w:basedOn w:val="Normal"/>
    <w:link w:val="Style-TitleChar"/>
    <w:qFormat/>
    <w:rsid w:val="0081103C"/>
    <w:pPr>
      <w:spacing w:before="120" w:after="360"/>
    </w:pPr>
    <w:rPr>
      <w:b/>
      <w:bCs/>
      <w:sz w:val="24"/>
      <w:szCs w:val="24"/>
    </w:rPr>
  </w:style>
  <w:style w:type="character" w:customStyle="1" w:styleId="Style-StatementHeadingChar">
    <w:name w:val="Style-StatementHeading Char"/>
    <w:basedOn w:val="DefaultParagraphFont"/>
    <w:link w:val="Style-StatementHeading"/>
    <w:rsid w:val="0081103C"/>
    <w:rPr>
      <w:rFonts w:ascii="Times New Roman" w:eastAsia="Times New Roman" w:hAnsi="Times New Roman" w:cs="Times New Roman"/>
      <w:b/>
      <w:spacing w:val="4"/>
      <w:w w:val="103"/>
      <w:kern w:val="14"/>
      <w:sz w:val="24"/>
      <w:szCs w:val="20"/>
      <w:lang w:val="en-GB"/>
    </w:rPr>
  </w:style>
  <w:style w:type="paragraph" w:customStyle="1" w:styleId="Style-StatementText">
    <w:name w:val="Style-StatementText"/>
    <w:basedOn w:val="Normal"/>
    <w:link w:val="Style-StatementTextChar"/>
    <w:qFormat/>
    <w:rsid w:val="0081103C"/>
    <w:pPr>
      <w:spacing w:line="480" w:lineRule="auto"/>
      <w:ind w:firstLine="720"/>
    </w:pPr>
    <w:rPr>
      <w:sz w:val="24"/>
    </w:rPr>
  </w:style>
  <w:style w:type="character" w:customStyle="1" w:styleId="Style-TitleChar">
    <w:name w:val="Style-Title Char"/>
    <w:basedOn w:val="DefaultParagraphFont"/>
    <w:link w:val="Style-Title"/>
    <w:rsid w:val="0081103C"/>
    <w:rPr>
      <w:rFonts w:ascii="Times New Roman" w:eastAsia="Times New Roman" w:hAnsi="Times New Roman" w:cs="Times New Roman"/>
      <w:b/>
      <w:bCs/>
      <w:spacing w:val="4"/>
      <w:w w:val="103"/>
      <w:kern w:val="14"/>
      <w:sz w:val="24"/>
      <w:szCs w:val="24"/>
      <w:lang w:val="en-GB"/>
    </w:rPr>
  </w:style>
  <w:style w:type="character" w:customStyle="1" w:styleId="Style-StatementTextChar">
    <w:name w:val="Style-StatementText Char"/>
    <w:basedOn w:val="DefaultParagraphFont"/>
    <w:link w:val="Style-StatementText"/>
    <w:rsid w:val="0081103C"/>
    <w:rPr>
      <w:rFonts w:ascii="Times New Roman" w:eastAsia="Times New Roman" w:hAnsi="Times New Roman" w:cs="Times New Roman"/>
      <w:spacing w:val="4"/>
      <w:w w:val="103"/>
      <w:kern w:val="14"/>
      <w:sz w:val="24"/>
      <w:szCs w:val="20"/>
      <w:lang w:val="en-GB"/>
    </w:rPr>
  </w:style>
  <w:style w:type="character" w:styleId="CommentReference">
    <w:name w:val="annotation reference"/>
    <w:basedOn w:val="DefaultParagraphFont"/>
    <w:uiPriority w:val="99"/>
    <w:semiHidden/>
    <w:unhideWhenUsed/>
    <w:rsid w:val="00045616"/>
    <w:rPr>
      <w:sz w:val="16"/>
      <w:szCs w:val="16"/>
    </w:rPr>
  </w:style>
  <w:style w:type="paragraph" w:styleId="CommentText">
    <w:name w:val="annotation text"/>
    <w:basedOn w:val="Normal"/>
    <w:link w:val="CommentTextChar"/>
    <w:uiPriority w:val="99"/>
    <w:semiHidden/>
    <w:unhideWhenUsed/>
    <w:rsid w:val="00045616"/>
  </w:style>
  <w:style w:type="character" w:customStyle="1" w:styleId="CommentTextChar">
    <w:name w:val="Comment Text Char"/>
    <w:basedOn w:val="DefaultParagraphFont"/>
    <w:link w:val="CommentText"/>
    <w:uiPriority w:val="99"/>
    <w:semiHidden/>
    <w:rsid w:val="00045616"/>
    <w:rPr>
      <w:rFonts w:ascii="Times New Roman" w:eastAsia="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00045616"/>
    <w:rPr>
      <w:b/>
      <w:bCs/>
    </w:rPr>
  </w:style>
  <w:style w:type="character" w:customStyle="1" w:styleId="CommentSubjectChar">
    <w:name w:val="Comment Subject Char"/>
    <w:basedOn w:val="CommentTextChar"/>
    <w:link w:val="CommentSubject"/>
    <w:uiPriority w:val="99"/>
    <w:semiHidden/>
    <w:rsid w:val="00045616"/>
    <w:rPr>
      <w:rFonts w:ascii="Times New Roman" w:eastAsia="Times New Roman" w:hAnsi="Times New Roman" w:cs="Times New Roman"/>
      <w:b/>
      <w:bCs/>
      <w:spacing w:val="4"/>
      <w:w w:val="103"/>
      <w:kern w:val="14"/>
      <w:sz w:val="20"/>
      <w:szCs w:val="20"/>
      <w:lang w:val="en-GB"/>
    </w:rPr>
  </w:style>
  <w:style w:type="paragraph" w:styleId="BalloonText">
    <w:name w:val="Balloon Text"/>
    <w:basedOn w:val="Normal"/>
    <w:link w:val="BalloonTextChar"/>
    <w:uiPriority w:val="99"/>
    <w:semiHidden/>
    <w:unhideWhenUsed/>
    <w:rsid w:val="00045616"/>
    <w:rPr>
      <w:sz w:val="18"/>
      <w:szCs w:val="18"/>
    </w:rPr>
  </w:style>
  <w:style w:type="character" w:customStyle="1" w:styleId="BalloonTextChar">
    <w:name w:val="Balloon Text Char"/>
    <w:basedOn w:val="DefaultParagraphFont"/>
    <w:link w:val="BalloonText"/>
    <w:uiPriority w:val="99"/>
    <w:semiHidden/>
    <w:rsid w:val="00045616"/>
    <w:rPr>
      <w:rFonts w:ascii="Times New Roman" w:eastAsia="Times New Roman" w:hAnsi="Times New Roman" w:cs="Times New Roman"/>
      <w:spacing w:val="4"/>
      <w:w w:val="103"/>
      <w:kern w:val="14"/>
      <w:sz w:val="18"/>
      <w:szCs w:val="18"/>
      <w:lang w:val="en-GB"/>
    </w:rPr>
  </w:style>
  <w:style w:type="character" w:customStyle="1" w:styleId="UnresolvedMention1">
    <w:name w:val="Unresolved Mention1"/>
    <w:basedOn w:val="DefaultParagraphFont"/>
    <w:uiPriority w:val="99"/>
    <w:unhideWhenUsed/>
    <w:rsid w:val="006E575B"/>
    <w:rPr>
      <w:color w:val="605E5C"/>
      <w:shd w:val="clear" w:color="auto" w:fill="E1DFDD"/>
    </w:rPr>
  </w:style>
  <w:style w:type="character" w:customStyle="1" w:styleId="Mention1">
    <w:name w:val="Mention1"/>
    <w:basedOn w:val="DefaultParagraphFont"/>
    <w:uiPriority w:val="99"/>
    <w:unhideWhenUsed/>
    <w:rsid w:val="006E575B"/>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VhQ5Tbj7dLfchttkYaDLh67Wg==">CgMxLjAyDmgudGRlbjhtZnNla2I2OAByITFyZlpYQkd5UDZNNlJKaTBraG9CSG42VHNBSzdzQWlEbg==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nevine ebied</dc:creator>
  <cp:lastModifiedBy>Nevien Ebied</cp:lastModifiedBy>
  <cp:revision>2</cp:revision>
  <dcterms:created xsi:type="dcterms:W3CDTF">2026-03-02T14:00:00Z</dcterms:created>
  <dcterms:modified xsi:type="dcterms:W3CDTF">2026-03-02T14:00:00Z</dcterms:modified>
</cp:coreProperties>
</file>